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5D8" w:rsidRPr="00187ECE" w:rsidRDefault="003414FC" w:rsidP="00187ECE">
      <w:pPr>
        <w:jc w:val="center"/>
        <w:rPr>
          <w:b/>
          <w:sz w:val="24"/>
        </w:rPr>
      </w:pPr>
      <w:r>
        <w:rPr>
          <w:b/>
          <w:sz w:val="24"/>
        </w:rPr>
        <w:t>Discussion</w:t>
      </w:r>
    </w:p>
    <w:p w:rsidR="00187ECE" w:rsidRDefault="00187ECE" w:rsidP="00187ECE">
      <w:pPr>
        <w:jc w:val="center"/>
        <w:rPr>
          <w:b/>
          <w:sz w:val="24"/>
        </w:rPr>
      </w:pPr>
      <w:r w:rsidRPr="00187ECE">
        <w:rPr>
          <w:b/>
          <w:sz w:val="24"/>
        </w:rPr>
        <w:t>City of Burlington Retirement Committee</w:t>
      </w:r>
    </w:p>
    <w:p w:rsidR="003F007B" w:rsidRDefault="003F007B" w:rsidP="00187ECE">
      <w:pPr>
        <w:jc w:val="center"/>
        <w:rPr>
          <w:b/>
          <w:sz w:val="24"/>
        </w:rPr>
      </w:pPr>
      <w:r>
        <w:rPr>
          <w:b/>
          <w:sz w:val="24"/>
        </w:rPr>
        <w:t xml:space="preserve">Prepared by Keith </w:t>
      </w:r>
      <w:proofErr w:type="spellStart"/>
      <w:r>
        <w:rPr>
          <w:b/>
          <w:sz w:val="24"/>
        </w:rPr>
        <w:t>Brainard</w:t>
      </w:r>
      <w:proofErr w:type="spellEnd"/>
    </w:p>
    <w:p w:rsidR="009562F6" w:rsidRPr="00187ECE" w:rsidRDefault="009562F6" w:rsidP="00187ECE">
      <w:pPr>
        <w:jc w:val="center"/>
        <w:rPr>
          <w:b/>
          <w:sz w:val="24"/>
        </w:rPr>
      </w:pPr>
      <w:r>
        <w:rPr>
          <w:b/>
          <w:sz w:val="24"/>
        </w:rPr>
        <w:t>July 2014</w:t>
      </w:r>
    </w:p>
    <w:p w:rsidR="00187ECE" w:rsidRDefault="00187ECE" w:rsidP="00187ECE">
      <w:pPr>
        <w:jc w:val="center"/>
      </w:pPr>
    </w:p>
    <w:p w:rsidR="00187ECE" w:rsidRDefault="00187ECE" w:rsidP="00187ECE"/>
    <w:p w:rsidR="00187ECE" w:rsidRPr="001A35B8" w:rsidRDefault="003414FC" w:rsidP="00187ECE">
      <w:pPr>
        <w:rPr>
          <w:b/>
          <w:sz w:val="24"/>
          <w:szCs w:val="24"/>
        </w:rPr>
      </w:pPr>
      <w:r>
        <w:rPr>
          <w:b/>
          <w:sz w:val="24"/>
          <w:szCs w:val="24"/>
        </w:rPr>
        <w:t>Topic</w:t>
      </w:r>
      <w:r w:rsidR="00187ECE" w:rsidRPr="001A35B8">
        <w:rPr>
          <w:b/>
          <w:sz w:val="24"/>
          <w:szCs w:val="24"/>
        </w:rPr>
        <w:t xml:space="preserve">: </w:t>
      </w:r>
      <w:r w:rsidR="006E5D2D">
        <w:rPr>
          <w:b/>
          <w:sz w:val="24"/>
          <w:szCs w:val="24"/>
        </w:rPr>
        <w:t>Plans that have experienced a larger-than-average decline in funding level</w:t>
      </w:r>
    </w:p>
    <w:p w:rsidR="00A9667E" w:rsidRDefault="00A9667E" w:rsidP="00187ECE">
      <w:pPr>
        <w:rPr>
          <w:b/>
        </w:rPr>
      </w:pPr>
    </w:p>
    <w:p w:rsidR="00187ECE" w:rsidRDefault="00187ECE" w:rsidP="00187ECE">
      <w:pPr>
        <w:rPr>
          <w:b/>
        </w:rPr>
      </w:pPr>
      <w:r w:rsidRPr="00187ECE">
        <w:rPr>
          <w:b/>
        </w:rPr>
        <w:t>Discussion</w:t>
      </w:r>
    </w:p>
    <w:p w:rsidR="006E5D2D" w:rsidRDefault="006E5D2D" w:rsidP="007E2E25">
      <w:pPr>
        <w:rPr>
          <w:sz w:val="24"/>
          <w:szCs w:val="24"/>
        </w:rPr>
      </w:pPr>
      <w:r>
        <w:rPr>
          <w:sz w:val="24"/>
          <w:szCs w:val="24"/>
        </w:rPr>
        <w:t>The average decline in funding level from FY 01, which was at or near the collective peak in public pension plans’ funding level, to FY 13, was approximately 28 percent from around 101 percent to 73 percent.</w:t>
      </w:r>
    </w:p>
    <w:p w:rsidR="006E5D2D" w:rsidRDefault="006E5D2D" w:rsidP="007E2E25">
      <w:pPr>
        <w:rPr>
          <w:sz w:val="24"/>
          <w:szCs w:val="24"/>
        </w:rPr>
      </w:pPr>
    </w:p>
    <w:p w:rsidR="006E5D2D" w:rsidRDefault="0009694D" w:rsidP="007E2E25">
      <w:pPr>
        <w:rPr>
          <w:sz w:val="24"/>
          <w:szCs w:val="24"/>
        </w:rPr>
      </w:pPr>
      <w:r>
        <w:rPr>
          <w:sz w:val="24"/>
          <w:szCs w:val="24"/>
        </w:rPr>
        <w:t>Predictably, t</w:t>
      </w:r>
      <w:r w:rsidR="006E5D2D">
        <w:rPr>
          <w:sz w:val="24"/>
          <w:szCs w:val="24"/>
        </w:rPr>
        <w:t>here is variability in this experience: some plans experienced smaller declines, while others experienced larger declines.</w:t>
      </w:r>
    </w:p>
    <w:p w:rsidR="006E5D2D" w:rsidRDefault="006E5D2D" w:rsidP="007E2E25">
      <w:pPr>
        <w:rPr>
          <w:sz w:val="24"/>
          <w:szCs w:val="24"/>
        </w:rPr>
      </w:pPr>
    </w:p>
    <w:p w:rsidR="006E5D2D" w:rsidRDefault="006E5D2D" w:rsidP="007E2E25">
      <w:pPr>
        <w:rPr>
          <w:sz w:val="24"/>
          <w:szCs w:val="24"/>
        </w:rPr>
      </w:pPr>
      <w:r>
        <w:rPr>
          <w:sz w:val="24"/>
          <w:szCs w:val="24"/>
        </w:rPr>
        <w:t>I reviewed around 20 plans that experience</w:t>
      </w:r>
      <w:r w:rsidR="000C1EC7">
        <w:rPr>
          <w:sz w:val="24"/>
          <w:szCs w:val="24"/>
        </w:rPr>
        <w:t>d</w:t>
      </w:r>
      <w:r>
        <w:rPr>
          <w:sz w:val="24"/>
          <w:szCs w:val="24"/>
        </w:rPr>
        <w:t xml:space="preserve"> declines in their funding level of more than 30 percent. The cause of the extraordinary funding level decline varies by plan, but </w:t>
      </w:r>
      <w:r w:rsidR="000C1EC7">
        <w:rPr>
          <w:sz w:val="24"/>
          <w:szCs w:val="24"/>
        </w:rPr>
        <w:t xml:space="preserve">one or more of </w:t>
      </w:r>
      <w:r>
        <w:rPr>
          <w:sz w:val="24"/>
          <w:szCs w:val="24"/>
        </w:rPr>
        <w:t xml:space="preserve">several factors </w:t>
      </w:r>
      <w:r w:rsidR="000C1EC7">
        <w:rPr>
          <w:sz w:val="24"/>
          <w:szCs w:val="24"/>
        </w:rPr>
        <w:t>were present in each case</w:t>
      </w:r>
      <w:r>
        <w:rPr>
          <w:sz w:val="24"/>
          <w:szCs w:val="24"/>
        </w:rPr>
        <w:t>:</w:t>
      </w:r>
    </w:p>
    <w:p w:rsidR="006E5D2D" w:rsidRDefault="006E5D2D" w:rsidP="007E2E25">
      <w:pPr>
        <w:rPr>
          <w:sz w:val="24"/>
          <w:szCs w:val="24"/>
        </w:rPr>
      </w:pPr>
    </w:p>
    <w:p w:rsidR="006E5D2D" w:rsidRDefault="006E5D2D" w:rsidP="006E5D2D">
      <w:pPr>
        <w:pStyle w:val="ListParagraph"/>
        <w:numPr>
          <w:ilvl w:val="0"/>
          <w:numId w:val="11"/>
        </w:numPr>
        <w:rPr>
          <w:sz w:val="24"/>
          <w:szCs w:val="24"/>
        </w:rPr>
      </w:pPr>
      <w:r>
        <w:rPr>
          <w:sz w:val="24"/>
          <w:szCs w:val="24"/>
        </w:rPr>
        <w:t>Failure by the employer to pay the Annual Required Contribution</w:t>
      </w:r>
    </w:p>
    <w:p w:rsidR="00CA3F89" w:rsidRPr="00CA3F89" w:rsidRDefault="00CA3F89" w:rsidP="00CA3F89">
      <w:pPr>
        <w:pStyle w:val="ListParagraph"/>
        <w:numPr>
          <w:ilvl w:val="1"/>
          <w:numId w:val="11"/>
        </w:numPr>
        <w:rPr>
          <w:sz w:val="24"/>
          <w:szCs w:val="24"/>
        </w:rPr>
      </w:pPr>
      <w:r w:rsidRPr="00CA3F89">
        <w:rPr>
          <w:sz w:val="24"/>
          <w:szCs w:val="24"/>
        </w:rPr>
        <w:t xml:space="preserve">The most common factor contributing to extraordinary declines in funding level has been a consistent failure by the employer to adequately pay the ARC. </w:t>
      </w:r>
    </w:p>
    <w:p w:rsidR="00CA3F89" w:rsidRDefault="00CA3F89" w:rsidP="00CA3F89">
      <w:pPr>
        <w:pStyle w:val="ListParagraph"/>
        <w:ind w:left="1440"/>
        <w:rPr>
          <w:sz w:val="24"/>
          <w:szCs w:val="24"/>
        </w:rPr>
      </w:pPr>
    </w:p>
    <w:p w:rsidR="006E5D2D" w:rsidRDefault="006E5D2D" w:rsidP="006E5D2D">
      <w:pPr>
        <w:pStyle w:val="ListParagraph"/>
        <w:numPr>
          <w:ilvl w:val="0"/>
          <w:numId w:val="11"/>
        </w:numPr>
        <w:rPr>
          <w:sz w:val="24"/>
          <w:szCs w:val="24"/>
        </w:rPr>
      </w:pPr>
      <w:r>
        <w:rPr>
          <w:sz w:val="24"/>
          <w:szCs w:val="24"/>
        </w:rPr>
        <w:t>Modification of benefit levels, in most cases in the 1995 to 2000 timeframe</w:t>
      </w:r>
      <w:r w:rsidR="00AA2B74">
        <w:rPr>
          <w:sz w:val="24"/>
          <w:szCs w:val="24"/>
        </w:rPr>
        <w:t>, without adequately altering the plan’</w:t>
      </w:r>
      <w:r w:rsidR="000C1EC7">
        <w:rPr>
          <w:sz w:val="24"/>
          <w:szCs w:val="24"/>
        </w:rPr>
        <w:t>s funding requirement</w:t>
      </w:r>
    </w:p>
    <w:p w:rsidR="00F94393" w:rsidRPr="00F94393" w:rsidRDefault="00F94393" w:rsidP="00F94393">
      <w:pPr>
        <w:pStyle w:val="ListParagraph"/>
        <w:numPr>
          <w:ilvl w:val="1"/>
          <w:numId w:val="11"/>
        </w:numPr>
        <w:rPr>
          <w:sz w:val="24"/>
          <w:szCs w:val="24"/>
        </w:rPr>
      </w:pPr>
      <w:r w:rsidRPr="00F94393">
        <w:rPr>
          <w:sz w:val="24"/>
          <w:szCs w:val="24"/>
        </w:rPr>
        <w:t xml:space="preserve">Benefit levels for many plans, particularly those that had attained funding levels well in excess of 100 percent, were increased during the late 1990s. In some cases, the actual cost of benefit </w:t>
      </w:r>
      <w:r w:rsidR="000C1EC7">
        <w:rPr>
          <w:sz w:val="24"/>
          <w:szCs w:val="24"/>
        </w:rPr>
        <w:t xml:space="preserve">changes </w:t>
      </w:r>
      <w:r w:rsidRPr="00F94393">
        <w:rPr>
          <w:sz w:val="24"/>
          <w:szCs w:val="24"/>
        </w:rPr>
        <w:t>was underestimated when actuarial experiences played out.</w:t>
      </w:r>
    </w:p>
    <w:p w:rsidR="00F94393" w:rsidRPr="00F94393" w:rsidRDefault="00F94393" w:rsidP="00F94393">
      <w:pPr>
        <w:rPr>
          <w:sz w:val="24"/>
          <w:szCs w:val="24"/>
        </w:rPr>
      </w:pPr>
    </w:p>
    <w:p w:rsidR="006E5D2D" w:rsidRDefault="006E5D2D" w:rsidP="006E5D2D">
      <w:pPr>
        <w:pStyle w:val="ListParagraph"/>
        <w:numPr>
          <w:ilvl w:val="0"/>
          <w:numId w:val="11"/>
        </w:numPr>
        <w:rPr>
          <w:sz w:val="24"/>
          <w:szCs w:val="24"/>
        </w:rPr>
      </w:pPr>
      <w:r>
        <w:rPr>
          <w:sz w:val="24"/>
          <w:szCs w:val="24"/>
        </w:rPr>
        <w:t>Adjustment of actuarial assumptions or methods</w:t>
      </w:r>
    </w:p>
    <w:p w:rsidR="0009694D" w:rsidRDefault="00F94393" w:rsidP="00F94393">
      <w:pPr>
        <w:pStyle w:val="ListParagraph"/>
        <w:numPr>
          <w:ilvl w:val="1"/>
          <w:numId w:val="11"/>
        </w:numPr>
        <w:rPr>
          <w:sz w:val="24"/>
          <w:szCs w:val="24"/>
        </w:rPr>
      </w:pPr>
      <w:r w:rsidRPr="00F94393">
        <w:rPr>
          <w:sz w:val="24"/>
          <w:szCs w:val="24"/>
        </w:rPr>
        <w:t xml:space="preserve">Many public pension plans have altered their actuarial methods and assumptions over the last 15 years. The most popular change </w:t>
      </w:r>
      <w:r w:rsidR="000C1EC7">
        <w:rPr>
          <w:sz w:val="24"/>
          <w:szCs w:val="24"/>
        </w:rPr>
        <w:t>(and usually the one with the greatest effect</w:t>
      </w:r>
      <w:r w:rsidR="0009694D">
        <w:rPr>
          <w:sz w:val="24"/>
          <w:szCs w:val="24"/>
        </w:rPr>
        <w:t xml:space="preserve"> on the plan’s funding level and cost</w:t>
      </w:r>
      <w:r w:rsidR="000C1EC7">
        <w:rPr>
          <w:sz w:val="24"/>
          <w:szCs w:val="24"/>
        </w:rPr>
        <w:t xml:space="preserve">) </w:t>
      </w:r>
      <w:r w:rsidRPr="00F94393">
        <w:rPr>
          <w:sz w:val="24"/>
          <w:szCs w:val="24"/>
        </w:rPr>
        <w:t>has been to reduce the plan’s investment return assumption</w:t>
      </w:r>
      <w:r w:rsidR="000C1EC7">
        <w:rPr>
          <w:sz w:val="24"/>
          <w:szCs w:val="24"/>
        </w:rPr>
        <w:t xml:space="preserve">. </w:t>
      </w:r>
      <w:r w:rsidR="0009694D">
        <w:rPr>
          <w:sz w:val="24"/>
          <w:szCs w:val="24"/>
        </w:rPr>
        <w:t>Reducing the investment return assumption</w:t>
      </w:r>
      <w:r w:rsidR="000C1EC7">
        <w:rPr>
          <w:sz w:val="24"/>
          <w:szCs w:val="24"/>
        </w:rPr>
        <w:t xml:space="preserve"> </w:t>
      </w:r>
      <w:r w:rsidRPr="00F94393">
        <w:rPr>
          <w:sz w:val="24"/>
          <w:szCs w:val="24"/>
        </w:rPr>
        <w:t>increase</w:t>
      </w:r>
      <w:r w:rsidR="000C1EC7">
        <w:rPr>
          <w:sz w:val="24"/>
          <w:szCs w:val="24"/>
        </w:rPr>
        <w:t>s</w:t>
      </w:r>
      <w:r w:rsidRPr="00F94393">
        <w:rPr>
          <w:sz w:val="24"/>
          <w:szCs w:val="24"/>
        </w:rPr>
        <w:t xml:space="preserve"> the plan’s unfunded liability and reduce</w:t>
      </w:r>
      <w:r w:rsidR="000C1EC7">
        <w:rPr>
          <w:sz w:val="24"/>
          <w:szCs w:val="24"/>
        </w:rPr>
        <w:t>s</w:t>
      </w:r>
      <w:r w:rsidRPr="00F94393">
        <w:rPr>
          <w:sz w:val="24"/>
          <w:szCs w:val="24"/>
        </w:rPr>
        <w:t xml:space="preserve"> </w:t>
      </w:r>
      <w:r w:rsidR="000C1EC7">
        <w:rPr>
          <w:sz w:val="24"/>
          <w:szCs w:val="24"/>
        </w:rPr>
        <w:t>its</w:t>
      </w:r>
      <w:r w:rsidRPr="00F94393">
        <w:rPr>
          <w:sz w:val="24"/>
          <w:szCs w:val="24"/>
        </w:rPr>
        <w:t xml:space="preserve"> funding condition. </w:t>
      </w:r>
    </w:p>
    <w:p w:rsidR="000C1EC7" w:rsidRPr="0009694D" w:rsidRDefault="00F94393" w:rsidP="00F94393">
      <w:pPr>
        <w:pStyle w:val="ListParagraph"/>
        <w:numPr>
          <w:ilvl w:val="1"/>
          <w:numId w:val="11"/>
        </w:numPr>
        <w:rPr>
          <w:sz w:val="24"/>
          <w:szCs w:val="24"/>
        </w:rPr>
      </w:pPr>
      <w:r w:rsidRPr="0009694D">
        <w:rPr>
          <w:sz w:val="24"/>
          <w:szCs w:val="24"/>
        </w:rPr>
        <w:t xml:space="preserve">Some plans have increased the length of the period over which the plan phases in investment gains or losses. A plan that has lengthened its smoothing period </w:t>
      </w:r>
      <w:r w:rsidR="00934D4F" w:rsidRPr="0009694D">
        <w:rPr>
          <w:sz w:val="24"/>
          <w:szCs w:val="24"/>
        </w:rPr>
        <w:t xml:space="preserve">recently (of which at least two did in the examined group) </w:t>
      </w:r>
      <w:r w:rsidRPr="0009694D">
        <w:rPr>
          <w:sz w:val="24"/>
          <w:szCs w:val="24"/>
        </w:rPr>
        <w:t xml:space="preserve">would have had the experience of recognizing all or most of the 2008-09 market </w:t>
      </w:r>
      <w:proofErr w:type="gramStart"/>
      <w:r w:rsidRPr="0009694D">
        <w:rPr>
          <w:sz w:val="24"/>
          <w:szCs w:val="24"/>
        </w:rPr>
        <w:t>decline</w:t>
      </w:r>
      <w:proofErr w:type="gramEnd"/>
      <w:r w:rsidRPr="0009694D">
        <w:rPr>
          <w:sz w:val="24"/>
          <w:szCs w:val="24"/>
        </w:rPr>
        <w:t>, but still is phasing in its investment losses.</w:t>
      </w:r>
    </w:p>
    <w:p w:rsidR="000C1EC7" w:rsidRDefault="00F94393" w:rsidP="00F94393">
      <w:pPr>
        <w:pStyle w:val="ListParagraph"/>
        <w:numPr>
          <w:ilvl w:val="1"/>
          <w:numId w:val="11"/>
        </w:numPr>
        <w:rPr>
          <w:sz w:val="24"/>
          <w:szCs w:val="24"/>
        </w:rPr>
      </w:pPr>
      <w:r w:rsidRPr="00F94393">
        <w:rPr>
          <w:sz w:val="24"/>
          <w:szCs w:val="24"/>
        </w:rPr>
        <w:t>Similarly, altering a plan’s amortization policy, such as by reducing the length of its amortization period, also can reduce its funding level.</w:t>
      </w:r>
      <w:r w:rsidR="00EE26B5">
        <w:rPr>
          <w:sz w:val="24"/>
          <w:szCs w:val="24"/>
        </w:rPr>
        <w:t xml:space="preserve"> </w:t>
      </w:r>
    </w:p>
    <w:p w:rsidR="00F94393" w:rsidRDefault="00EE26B5" w:rsidP="00F94393">
      <w:pPr>
        <w:pStyle w:val="ListParagraph"/>
        <w:numPr>
          <w:ilvl w:val="1"/>
          <w:numId w:val="11"/>
        </w:numPr>
        <w:rPr>
          <w:sz w:val="24"/>
          <w:szCs w:val="24"/>
        </w:rPr>
      </w:pPr>
      <w:r>
        <w:rPr>
          <w:sz w:val="24"/>
          <w:szCs w:val="24"/>
        </w:rPr>
        <w:t>Finally, instituting a new mortality table, which assumes plan participants will live longer, also worsen a plan’s funding condition.</w:t>
      </w:r>
    </w:p>
    <w:p w:rsidR="00F94393" w:rsidRDefault="00F94393" w:rsidP="00F94393">
      <w:pPr>
        <w:pStyle w:val="ListParagraph"/>
        <w:ind w:left="1440"/>
        <w:rPr>
          <w:sz w:val="24"/>
          <w:szCs w:val="24"/>
        </w:rPr>
      </w:pPr>
    </w:p>
    <w:p w:rsidR="0009694D" w:rsidRPr="00F94393" w:rsidRDefault="0009694D" w:rsidP="00F94393">
      <w:pPr>
        <w:pStyle w:val="ListParagraph"/>
        <w:ind w:left="1440"/>
        <w:rPr>
          <w:sz w:val="24"/>
          <w:szCs w:val="24"/>
        </w:rPr>
      </w:pPr>
    </w:p>
    <w:p w:rsidR="00F94393" w:rsidRDefault="006E5D2D" w:rsidP="007E2E25">
      <w:pPr>
        <w:pStyle w:val="ListParagraph"/>
        <w:numPr>
          <w:ilvl w:val="0"/>
          <w:numId w:val="11"/>
        </w:numPr>
        <w:rPr>
          <w:sz w:val="24"/>
          <w:szCs w:val="24"/>
        </w:rPr>
      </w:pPr>
      <w:r w:rsidRPr="00F94393">
        <w:rPr>
          <w:sz w:val="24"/>
          <w:szCs w:val="24"/>
        </w:rPr>
        <w:lastRenderedPageBreak/>
        <w:t>Substandard investment performance</w:t>
      </w:r>
    </w:p>
    <w:p w:rsidR="00AA2B74" w:rsidRDefault="00AA2B74" w:rsidP="00F94393">
      <w:pPr>
        <w:pStyle w:val="ListParagraph"/>
        <w:numPr>
          <w:ilvl w:val="1"/>
          <w:numId w:val="11"/>
        </w:numPr>
        <w:rPr>
          <w:sz w:val="24"/>
          <w:szCs w:val="24"/>
        </w:rPr>
      </w:pPr>
      <w:r w:rsidRPr="00F94393">
        <w:rPr>
          <w:sz w:val="24"/>
          <w:szCs w:val="24"/>
        </w:rPr>
        <w:t xml:space="preserve">Investment performance also can affect a pension plan’s funding condition. </w:t>
      </w:r>
      <w:r w:rsidR="00934D4F">
        <w:rPr>
          <w:sz w:val="24"/>
          <w:szCs w:val="24"/>
        </w:rPr>
        <w:t>T</w:t>
      </w:r>
      <w:r w:rsidRPr="00F94393">
        <w:rPr>
          <w:sz w:val="24"/>
          <w:szCs w:val="24"/>
        </w:rPr>
        <w:t xml:space="preserve">he median annualized public pension fund investment return for the 10-year period ended June 30, 2013 was 7.1 percent, </w:t>
      </w:r>
      <w:r w:rsidR="00934D4F">
        <w:rPr>
          <w:sz w:val="24"/>
          <w:szCs w:val="24"/>
        </w:rPr>
        <w:t xml:space="preserve">but </w:t>
      </w:r>
      <w:r w:rsidRPr="00F94393">
        <w:rPr>
          <w:sz w:val="24"/>
          <w:szCs w:val="24"/>
        </w:rPr>
        <w:t>actual results vary widely, ranging from below six percent to above eight percent. Underperforming by even one percent on an annual basis over a decade can have a significant effect on a pension plan’s funding condition.</w:t>
      </w:r>
    </w:p>
    <w:p w:rsidR="00F94393" w:rsidRDefault="00F94393" w:rsidP="00F94393">
      <w:pPr>
        <w:rPr>
          <w:sz w:val="24"/>
          <w:szCs w:val="24"/>
        </w:rPr>
      </w:pPr>
    </w:p>
    <w:p w:rsidR="00F94393" w:rsidRDefault="00F94393" w:rsidP="00F94393">
      <w:pPr>
        <w:rPr>
          <w:sz w:val="24"/>
          <w:szCs w:val="24"/>
        </w:rPr>
      </w:pPr>
      <w:r>
        <w:rPr>
          <w:sz w:val="24"/>
          <w:szCs w:val="24"/>
        </w:rPr>
        <w:t xml:space="preserve">In some cases, a combination of these factors took place, such as a failure to receive the full ARC, combined with changes in </w:t>
      </w:r>
      <w:r w:rsidR="006A1CEB">
        <w:rPr>
          <w:sz w:val="24"/>
          <w:szCs w:val="24"/>
        </w:rPr>
        <w:t>the investment return assumption.</w:t>
      </w:r>
    </w:p>
    <w:p w:rsidR="00EE26B5" w:rsidRDefault="00EE26B5" w:rsidP="00F94393">
      <w:pPr>
        <w:rPr>
          <w:sz w:val="24"/>
          <w:szCs w:val="24"/>
        </w:rPr>
      </w:pPr>
    </w:p>
    <w:p w:rsidR="00EE26B5" w:rsidRPr="00F94393" w:rsidRDefault="00EE26B5" w:rsidP="00F94393">
      <w:pPr>
        <w:rPr>
          <w:sz w:val="24"/>
          <w:szCs w:val="24"/>
        </w:rPr>
      </w:pPr>
      <w:r>
        <w:rPr>
          <w:sz w:val="24"/>
          <w:szCs w:val="24"/>
        </w:rPr>
        <w:t>Additionally, it is possible that some plans have had an actuarial experience that has not been recognized</w:t>
      </w:r>
      <w:r w:rsidR="0009694D">
        <w:rPr>
          <w:sz w:val="24"/>
          <w:szCs w:val="24"/>
        </w:rPr>
        <w:t xml:space="preserve"> but that is having an effect on the plan’s actuarial condition</w:t>
      </w:r>
      <w:r>
        <w:rPr>
          <w:sz w:val="24"/>
          <w:szCs w:val="24"/>
        </w:rPr>
        <w:t>. For example, a larger than expected percentage of participants could have retired and are receiving benefit, but the cost of that experience has not yet been measured or funded.</w:t>
      </w:r>
    </w:p>
    <w:sectPr w:rsidR="00EE26B5" w:rsidRPr="00F94393" w:rsidSect="00D9578A">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BFE" w:rsidRDefault="006A0BFE" w:rsidP="003755B8">
      <w:r>
        <w:separator/>
      </w:r>
    </w:p>
  </w:endnote>
  <w:endnote w:type="continuationSeparator" w:id="0">
    <w:p w:rsidR="006A0BFE" w:rsidRDefault="006A0BFE" w:rsidP="00375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BFE" w:rsidRDefault="006A0BFE" w:rsidP="003755B8">
      <w:r>
        <w:separator/>
      </w:r>
    </w:p>
  </w:footnote>
  <w:footnote w:type="continuationSeparator" w:id="0">
    <w:p w:rsidR="006A0BFE" w:rsidRDefault="006A0BFE" w:rsidP="003755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7005"/>
    <w:multiLevelType w:val="hybridMultilevel"/>
    <w:tmpl w:val="77A8F0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05A60"/>
    <w:multiLevelType w:val="hybridMultilevel"/>
    <w:tmpl w:val="B0CE6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0425E6"/>
    <w:multiLevelType w:val="hybridMultilevel"/>
    <w:tmpl w:val="3A28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C2145F"/>
    <w:multiLevelType w:val="hybridMultilevel"/>
    <w:tmpl w:val="80B4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C87563"/>
    <w:multiLevelType w:val="hybridMultilevel"/>
    <w:tmpl w:val="38BC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E358C1"/>
    <w:multiLevelType w:val="hybridMultilevel"/>
    <w:tmpl w:val="6220D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471DB8"/>
    <w:multiLevelType w:val="hybridMultilevel"/>
    <w:tmpl w:val="C2B2C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EC19B6"/>
    <w:multiLevelType w:val="hybridMultilevel"/>
    <w:tmpl w:val="270A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0C25A1"/>
    <w:multiLevelType w:val="hybridMultilevel"/>
    <w:tmpl w:val="75DA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31512B"/>
    <w:multiLevelType w:val="hybridMultilevel"/>
    <w:tmpl w:val="266A1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761D39"/>
    <w:multiLevelType w:val="hybridMultilevel"/>
    <w:tmpl w:val="9312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0"/>
  </w:num>
  <w:num w:numId="5">
    <w:abstractNumId w:val="4"/>
  </w:num>
  <w:num w:numId="6">
    <w:abstractNumId w:val="7"/>
  </w:num>
  <w:num w:numId="7">
    <w:abstractNumId w:val="2"/>
  </w:num>
  <w:num w:numId="8">
    <w:abstractNumId w:val="3"/>
  </w:num>
  <w:num w:numId="9">
    <w:abstractNumId w:val="1"/>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305D8"/>
    <w:rsid w:val="00010A6D"/>
    <w:rsid w:val="000305D8"/>
    <w:rsid w:val="0003381E"/>
    <w:rsid w:val="00035130"/>
    <w:rsid w:val="00047113"/>
    <w:rsid w:val="00071A31"/>
    <w:rsid w:val="000729E9"/>
    <w:rsid w:val="00085588"/>
    <w:rsid w:val="00086212"/>
    <w:rsid w:val="0009694D"/>
    <w:rsid w:val="000A094C"/>
    <w:rsid w:val="000A0A94"/>
    <w:rsid w:val="000B5A18"/>
    <w:rsid w:val="000C139E"/>
    <w:rsid w:val="000C1EC7"/>
    <w:rsid w:val="000C3177"/>
    <w:rsid w:val="000C79C2"/>
    <w:rsid w:val="000D34D1"/>
    <w:rsid w:val="000E752F"/>
    <w:rsid w:val="00101B2B"/>
    <w:rsid w:val="00106B05"/>
    <w:rsid w:val="0010767F"/>
    <w:rsid w:val="00127E76"/>
    <w:rsid w:val="00170A3D"/>
    <w:rsid w:val="00187ECE"/>
    <w:rsid w:val="001A35B8"/>
    <w:rsid w:val="001C646A"/>
    <w:rsid w:val="001D591C"/>
    <w:rsid w:val="00223241"/>
    <w:rsid w:val="002323F0"/>
    <w:rsid w:val="002508D0"/>
    <w:rsid w:val="0025395D"/>
    <w:rsid w:val="00253D6F"/>
    <w:rsid w:val="0026775C"/>
    <w:rsid w:val="002812E9"/>
    <w:rsid w:val="00284AED"/>
    <w:rsid w:val="002A37A2"/>
    <w:rsid w:val="002A645D"/>
    <w:rsid w:val="002D372D"/>
    <w:rsid w:val="002D3FB6"/>
    <w:rsid w:val="002D67CF"/>
    <w:rsid w:val="002E071C"/>
    <w:rsid w:val="002F0CDF"/>
    <w:rsid w:val="002F4CDC"/>
    <w:rsid w:val="00305EAC"/>
    <w:rsid w:val="00322E06"/>
    <w:rsid w:val="003414FC"/>
    <w:rsid w:val="00343C67"/>
    <w:rsid w:val="0036281D"/>
    <w:rsid w:val="003755B8"/>
    <w:rsid w:val="003771E5"/>
    <w:rsid w:val="00397BE9"/>
    <w:rsid w:val="003B1C3A"/>
    <w:rsid w:val="003B3323"/>
    <w:rsid w:val="003D24D3"/>
    <w:rsid w:val="003E6AFD"/>
    <w:rsid w:val="003F007B"/>
    <w:rsid w:val="00404BE6"/>
    <w:rsid w:val="004201D4"/>
    <w:rsid w:val="00426897"/>
    <w:rsid w:val="00427E5B"/>
    <w:rsid w:val="0043068B"/>
    <w:rsid w:val="00434C13"/>
    <w:rsid w:val="004366B3"/>
    <w:rsid w:val="00450AD5"/>
    <w:rsid w:val="004615D5"/>
    <w:rsid w:val="004641A8"/>
    <w:rsid w:val="00482ED1"/>
    <w:rsid w:val="00494399"/>
    <w:rsid w:val="004A1978"/>
    <w:rsid w:val="004C776F"/>
    <w:rsid w:val="004F7400"/>
    <w:rsid w:val="00530BF3"/>
    <w:rsid w:val="00533144"/>
    <w:rsid w:val="0056311C"/>
    <w:rsid w:val="00563FF2"/>
    <w:rsid w:val="005727DA"/>
    <w:rsid w:val="00594BAE"/>
    <w:rsid w:val="005A519E"/>
    <w:rsid w:val="005C6871"/>
    <w:rsid w:val="005F13B2"/>
    <w:rsid w:val="00611683"/>
    <w:rsid w:val="00651822"/>
    <w:rsid w:val="00656B64"/>
    <w:rsid w:val="006652D5"/>
    <w:rsid w:val="0066770D"/>
    <w:rsid w:val="00670C0B"/>
    <w:rsid w:val="00676C07"/>
    <w:rsid w:val="00677522"/>
    <w:rsid w:val="006875B7"/>
    <w:rsid w:val="00687CB4"/>
    <w:rsid w:val="006906B9"/>
    <w:rsid w:val="00696E71"/>
    <w:rsid w:val="006A07BA"/>
    <w:rsid w:val="006A0BFE"/>
    <w:rsid w:val="006A1CEB"/>
    <w:rsid w:val="006E5D2D"/>
    <w:rsid w:val="006F09AC"/>
    <w:rsid w:val="006F1039"/>
    <w:rsid w:val="006F2F73"/>
    <w:rsid w:val="00710857"/>
    <w:rsid w:val="00714CD5"/>
    <w:rsid w:val="00721178"/>
    <w:rsid w:val="007307F4"/>
    <w:rsid w:val="00731F5B"/>
    <w:rsid w:val="007477CC"/>
    <w:rsid w:val="007649AB"/>
    <w:rsid w:val="00770906"/>
    <w:rsid w:val="0078206A"/>
    <w:rsid w:val="007C0F95"/>
    <w:rsid w:val="007D1FFE"/>
    <w:rsid w:val="007E17F8"/>
    <w:rsid w:val="007E2E25"/>
    <w:rsid w:val="00840861"/>
    <w:rsid w:val="00842E2A"/>
    <w:rsid w:val="00860A12"/>
    <w:rsid w:val="008662B6"/>
    <w:rsid w:val="00884CBD"/>
    <w:rsid w:val="00892137"/>
    <w:rsid w:val="008A051D"/>
    <w:rsid w:val="008B00F6"/>
    <w:rsid w:val="008D65BD"/>
    <w:rsid w:val="008D7BB8"/>
    <w:rsid w:val="008E2A91"/>
    <w:rsid w:val="008F5D05"/>
    <w:rsid w:val="00927EFE"/>
    <w:rsid w:val="0093117B"/>
    <w:rsid w:val="00934D4F"/>
    <w:rsid w:val="00954A44"/>
    <w:rsid w:val="009562F6"/>
    <w:rsid w:val="00966BB4"/>
    <w:rsid w:val="00972240"/>
    <w:rsid w:val="009969A9"/>
    <w:rsid w:val="009C716A"/>
    <w:rsid w:val="009D5D95"/>
    <w:rsid w:val="009E731F"/>
    <w:rsid w:val="00A00464"/>
    <w:rsid w:val="00A123F6"/>
    <w:rsid w:val="00A3471A"/>
    <w:rsid w:val="00A36F24"/>
    <w:rsid w:val="00A42181"/>
    <w:rsid w:val="00A632B7"/>
    <w:rsid w:val="00A70ED1"/>
    <w:rsid w:val="00A81204"/>
    <w:rsid w:val="00A82806"/>
    <w:rsid w:val="00A9667E"/>
    <w:rsid w:val="00AA2B74"/>
    <w:rsid w:val="00AC5A65"/>
    <w:rsid w:val="00AE1CC5"/>
    <w:rsid w:val="00AE5B3B"/>
    <w:rsid w:val="00AF2607"/>
    <w:rsid w:val="00AF7035"/>
    <w:rsid w:val="00B1047B"/>
    <w:rsid w:val="00B466D4"/>
    <w:rsid w:val="00B70870"/>
    <w:rsid w:val="00B73216"/>
    <w:rsid w:val="00B740FB"/>
    <w:rsid w:val="00B805E6"/>
    <w:rsid w:val="00BB3236"/>
    <w:rsid w:val="00BE3863"/>
    <w:rsid w:val="00BE474A"/>
    <w:rsid w:val="00C329EC"/>
    <w:rsid w:val="00C3545B"/>
    <w:rsid w:val="00C54EAF"/>
    <w:rsid w:val="00C7060D"/>
    <w:rsid w:val="00C965C0"/>
    <w:rsid w:val="00CA3F89"/>
    <w:rsid w:val="00CB2FBD"/>
    <w:rsid w:val="00CB4E94"/>
    <w:rsid w:val="00CD1DB1"/>
    <w:rsid w:val="00CE14B0"/>
    <w:rsid w:val="00CE4EA6"/>
    <w:rsid w:val="00D009A4"/>
    <w:rsid w:val="00D127C0"/>
    <w:rsid w:val="00D318CC"/>
    <w:rsid w:val="00D414C1"/>
    <w:rsid w:val="00D50658"/>
    <w:rsid w:val="00D6703B"/>
    <w:rsid w:val="00D777BD"/>
    <w:rsid w:val="00D9578A"/>
    <w:rsid w:val="00D9736B"/>
    <w:rsid w:val="00D9790D"/>
    <w:rsid w:val="00DB5DA4"/>
    <w:rsid w:val="00DD06DF"/>
    <w:rsid w:val="00DE4116"/>
    <w:rsid w:val="00DE728F"/>
    <w:rsid w:val="00DF7BF0"/>
    <w:rsid w:val="00E04B45"/>
    <w:rsid w:val="00E125FC"/>
    <w:rsid w:val="00E166BC"/>
    <w:rsid w:val="00E3271B"/>
    <w:rsid w:val="00E33533"/>
    <w:rsid w:val="00E36700"/>
    <w:rsid w:val="00E47A3D"/>
    <w:rsid w:val="00E61C31"/>
    <w:rsid w:val="00E65E21"/>
    <w:rsid w:val="00E715C0"/>
    <w:rsid w:val="00E81C52"/>
    <w:rsid w:val="00E90A6B"/>
    <w:rsid w:val="00EA7ADC"/>
    <w:rsid w:val="00EB4276"/>
    <w:rsid w:val="00ED7D87"/>
    <w:rsid w:val="00EE0375"/>
    <w:rsid w:val="00EE26B5"/>
    <w:rsid w:val="00EF6084"/>
    <w:rsid w:val="00F01AFF"/>
    <w:rsid w:val="00F0402B"/>
    <w:rsid w:val="00F22701"/>
    <w:rsid w:val="00F353AE"/>
    <w:rsid w:val="00F35F48"/>
    <w:rsid w:val="00F43687"/>
    <w:rsid w:val="00F43E6C"/>
    <w:rsid w:val="00F8384B"/>
    <w:rsid w:val="00F846DD"/>
    <w:rsid w:val="00F92DCB"/>
    <w:rsid w:val="00F93DA0"/>
    <w:rsid w:val="00F94393"/>
    <w:rsid w:val="00FA532D"/>
    <w:rsid w:val="00FC4C03"/>
    <w:rsid w:val="00FC7790"/>
    <w:rsid w:val="00FD5D24"/>
    <w:rsid w:val="00FD677B"/>
    <w:rsid w:val="00FE086C"/>
    <w:rsid w:val="00FE1227"/>
    <w:rsid w:val="00FF7D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5D8"/>
    <w:pPr>
      <w:spacing w:after="0"/>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305D8"/>
  </w:style>
  <w:style w:type="character" w:styleId="Hyperlink">
    <w:name w:val="Hyperlink"/>
    <w:basedOn w:val="DefaultParagraphFont"/>
    <w:uiPriority w:val="99"/>
    <w:semiHidden/>
    <w:unhideWhenUsed/>
    <w:rsid w:val="002508D0"/>
    <w:rPr>
      <w:color w:val="0000FF"/>
      <w:u w:val="single"/>
    </w:rPr>
  </w:style>
  <w:style w:type="character" w:styleId="FollowedHyperlink">
    <w:name w:val="FollowedHyperlink"/>
    <w:basedOn w:val="DefaultParagraphFont"/>
    <w:uiPriority w:val="99"/>
    <w:semiHidden/>
    <w:unhideWhenUsed/>
    <w:rsid w:val="002508D0"/>
    <w:rPr>
      <w:color w:val="800080" w:themeColor="followedHyperlink"/>
      <w:u w:val="single"/>
    </w:rPr>
  </w:style>
  <w:style w:type="paragraph" w:styleId="ListParagraph">
    <w:name w:val="List Paragraph"/>
    <w:basedOn w:val="Normal"/>
    <w:uiPriority w:val="34"/>
    <w:qFormat/>
    <w:rsid w:val="0066770D"/>
    <w:pPr>
      <w:ind w:left="720"/>
      <w:contextualSpacing/>
    </w:pPr>
  </w:style>
  <w:style w:type="paragraph" w:styleId="EndnoteText">
    <w:name w:val="endnote text"/>
    <w:basedOn w:val="Normal"/>
    <w:link w:val="EndnoteTextChar"/>
    <w:uiPriority w:val="99"/>
    <w:semiHidden/>
    <w:unhideWhenUsed/>
    <w:rsid w:val="003755B8"/>
    <w:rPr>
      <w:sz w:val="20"/>
      <w:szCs w:val="20"/>
    </w:rPr>
  </w:style>
  <w:style w:type="character" w:customStyle="1" w:styleId="EndnoteTextChar">
    <w:name w:val="Endnote Text Char"/>
    <w:basedOn w:val="DefaultParagraphFont"/>
    <w:link w:val="EndnoteText"/>
    <w:uiPriority w:val="99"/>
    <w:semiHidden/>
    <w:rsid w:val="003755B8"/>
    <w:rPr>
      <w:rFonts w:ascii="Calibri" w:hAnsi="Calibri" w:cs="Calibri"/>
      <w:sz w:val="20"/>
      <w:szCs w:val="20"/>
    </w:rPr>
  </w:style>
  <w:style w:type="character" w:styleId="EndnoteReference">
    <w:name w:val="endnote reference"/>
    <w:basedOn w:val="DefaultParagraphFont"/>
    <w:uiPriority w:val="99"/>
    <w:semiHidden/>
    <w:unhideWhenUsed/>
    <w:rsid w:val="003755B8"/>
    <w:rPr>
      <w:vertAlign w:val="superscript"/>
    </w:rPr>
  </w:style>
</w:styles>
</file>

<file path=word/webSettings.xml><?xml version="1.0" encoding="utf-8"?>
<w:webSettings xmlns:r="http://schemas.openxmlformats.org/officeDocument/2006/relationships" xmlns:w="http://schemas.openxmlformats.org/wordprocessingml/2006/main">
  <w:divs>
    <w:div w:id="136806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F27A7-65BA-4843-9984-79821472B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Daily</cp:lastModifiedBy>
  <cp:revision>8</cp:revision>
  <dcterms:created xsi:type="dcterms:W3CDTF">2014-07-26T21:21:00Z</dcterms:created>
  <dcterms:modified xsi:type="dcterms:W3CDTF">2014-07-27T17:43:00Z</dcterms:modified>
</cp:coreProperties>
</file>