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D8" w:rsidRPr="00187ECE" w:rsidRDefault="00187ECE" w:rsidP="00187ECE">
      <w:pPr>
        <w:jc w:val="center"/>
        <w:rPr>
          <w:b/>
          <w:sz w:val="24"/>
        </w:rPr>
      </w:pPr>
      <w:r w:rsidRPr="00187ECE">
        <w:rPr>
          <w:b/>
          <w:sz w:val="24"/>
        </w:rPr>
        <w:t>Goal Development</w:t>
      </w:r>
    </w:p>
    <w:p w:rsidR="00187ECE" w:rsidRDefault="00187ECE" w:rsidP="00187ECE">
      <w:pPr>
        <w:jc w:val="center"/>
        <w:rPr>
          <w:b/>
          <w:sz w:val="24"/>
        </w:rPr>
      </w:pPr>
      <w:r w:rsidRPr="00187ECE">
        <w:rPr>
          <w:b/>
          <w:sz w:val="24"/>
        </w:rPr>
        <w:t>City of Burlington Retirement Committee</w:t>
      </w:r>
    </w:p>
    <w:p w:rsidR="003F007B" w:rsidRPr="00187ECE" w:rsidRDefault="003F007B" w:rsidP="00187ECE">
      <w:pPr>
        <w:jc w:val="center"/>
        <w:rPr>
          <w:b/>
          <w:sz w:val="24"/>
        </w:rPr>
      </w:pPr>
      <w:r>
        <w:rPr>
          <w:b/>
          <w:sz w:val="24"/>
        </w:rPr>
        <w:t>Prepared by Keith Brainard</w:t>
      </w:r>
    </w:p>
    <w:p w:rsidR="00187ECE" w:rsidRDefault="00187ECE" w:rsidP="00187ECE">
      <w:pPr>
        <w:jc w:val="center"/>
      </w:pPr>
    </w:p>
    <w:p w:rsidR="00187ECE" w:rsidRPr="001A35B8" w:rsidRDefault="00187ECE" w:rsidP="00187ECE">
      <w:pPr>
        <w:rPr>
          <w:b/>
          <w:sz w:val="24"/>
          <w:szCs w:val="24"/>
        </w:rPr>
      </w:pPr>
      <w:r w:rsidRPr="001A35B8">
        <w:rPr>
          <w:b/>
          <w:sz w:val="24"/>
          <w:szCs w:val="24"/>
        </w:rPr>
        <w:t xml:space="preserve">Goal: </w:t>
      </w:r>
      <w:r w:rsidR="00AE5B3B">
        <w:rPr>
          <w:b/>
          <w:sz w:val="24"/>
          <w:szCs w:val="24"/>
        </w:rPr>
        <w:t>Benefit Complexity</w:t>
      </w:r>
    </w:p>
    <w:p w:rsidR="00A9667E" w:rsidRDefault="00A9667E" w:rsidP="00187ECE">
      <w:pPr>
        <w:rPr>
          <w:b/>
        </w:rPr>
      </w:pPr>
    </w:p>
    <w:p w:rsidR="00187ECE" w:rsidRDefault="00187ECE" w:rsidP="00187ECE">
      <w:pPr>
        <w:rPr>
          <w:b/>
        </w:rPr>
      </w:pPr>
      <w:r w:rsidRPr="00187ECE">
        <w:rPr>
          <w:b/>
        </w:rPr>
        <w:t>Discussion</w:t>
      </w:r>
    </w:p>
    <w:p w:rsidR="002323F0" w:rsidRDefault="007C0F95" w:rsidP="00187ECE">
      <w:pPr>
        <w:rPr>
          <w:sz w:val="24"/>
          <w:szCs w:val="24"/>
        </w:rPr>
      </w:pPr>
      <w:r>
        <w:rPr>
          <w:sz w:val="24"/>
          <w:szCs w:val="24"/>
        </w:rPr>
        <w:t>By their nature, DB plans are complex. Unlike defined contribution plans, wh</w:t>
      </w:r>
      <w:r w:rsidR="003E6AFD">
        <w:rPr>
          <w:sz w:val="24"/>
          <w:szCs w:val="24"/>
        </w:rPr>
        <w:t xml:space="preserve">ich </w:t>
      </w:r>
      <w:r>
        <w:rPr>
          <w:sz w:val="24"/>
          <w:szCs w:val="24"/>
        </w:rPr>
        <w:t>focus solely on a</w:t>
      </w:r>
      <w:r w:rsidR="00C9301B">
        <w:rPr>
          <w:sz w:val="24"/>
          <w:szCs w:val="24"/>
        </w:rPr>
        <w:t xml:space="preserve"> simple </w:t>
      </w:r>
      <w:r>
        <w:rPr>
          <w:sz w:val="24"/>
          <w:szCs w:val="24"/>
        </w:rPr>
        <w:t xml:space="preserve">input—the contribution—DB plans </w:t>
      </w:r>
      <w:r w:rsidR="004615D5">
        <w:rPr>
          <w:sz w:val="24"/>
          <w:szCs w:val="24"/>
        </w:rPr>
        <w:t>focus on a</w:t>
      </w:r>
      <w:r w:rsidR="000418D9">
        <w:rPr>
          <w:sz w:val="24"/>
          <w:szCs w:val="24"/>
        </w:rPr>
        <w:t xml:space="preserve"> complicated</w:t>
      </w:r>
      <w:r w:rsidR="004615D5">
        <w:rPr>
          <w:sz w:val="24"/>
          <w:szCs w:val="24"/>
        </w:rPr>
        <w:t xml:space="preserve"> output</w:t>
      </w:r>
      <w:r w:rsidR="003E6AFD">
        <w:rPr>
          <w:sz w:val="24"/>
          <w:szCs w:val="24"/>
        </w:rPr>
        <w:t xml:space="preserve">: </w:t>
      </w:r>
      <w:r w:rsidR="002323F0">
        <w:rPr>
          <w:sz w:val="24"/>
          <w:szCs w:val="24"/>
        </w:rPr>
        <w:t>a benefit</w:t>
      </w:r>
      <w:r>
        <w:rPr>
          <w:sz w:val="24"/>
          <w:szCs w:val="24"/>
        </w:rPr>
        <w:t xml:space="preserve"> to be paid years in the future, with a</w:t>
      </w:r>
      <w:r w:rsidR="002323F0">
        <w:rPr>
          <w:sz w:val="24"/>
          <w:szCs w:val="24"/>
        </w:rPr>
        <w:t xml:space="preserve"> </w:t>
      </w:r>
      <w:r w:rsidR="003E6AFD">
        <w:rPr>
          <w:sz w:val="24"/>
          <w:szCs w:val="24"/>
        </w:rPr>
        <w:t xml:space="preserve">specific </w:t>
      </w:r>
      <w:r w:rsidR="002323F0">
        <w:rPr>
          <w:sz w:val="24"/>
          <w:szCs w:val="24"/>
        </w:rPr>
        <w:t>value</w:t>
      </w:r>
      <w:r w:rsidR="003E6AFD">
        <w:rPr>
          <w:sz w:val="24"/>
          <w:szCs w:val="24"/>
        </w:rPr>
        <w:t>, over a time period that is unknowable</w:t>
      </w:r>
      <w:r w:rsidR="002323F0">
        <w:rPr>
          <w:sz w:val="24"/>
          <w:szCs w:val="24"/>
        </w:rPr>
        <w:t xml:space="preserve">. </w:t>
      </w:r>
      <w:r w:rsidR="003E6AFD">
        <w:rPr>
          <w:sz w:val="24"/>
          <w:szCs w:val="24"/>
        </w:rPr>
        <w:t xml:space="preserve">Maintaining a DB plan is akin to hitting a moving target. </w:t>
      </w:r>
      <w:r w:rsidR="004615D5">
        <w:rPr>
          <w:sz w:val="24"/>
          <w:szCs w:val="24"/>
        </w:rPr>
        <w:t>Determining the amount necessary to contribute each year</w:t>
      </w:r>
      <w:r w:rsidR="002323F0">
        <w:rPr>
          <w:sz w:val="24"/>
          <w:szCs w:val="24"/>
        </w:rPr>
        <w:t xml:space="preserve">, in order to </w:t>
      </w:r>
      <w:r>
        <w:rPr>
          <w:sz w:val="24"/>
          <w:szCs w:val="24"/>
        </w:rPr>
        <w:t xml:space="preserve">appropriately </w:t>
      </w:r>
      <w:r w:rsidR="002323F0">
        <w:rPr>
          <w:sz w:val="24"/>
          <w:szCs w:val="24"/>
        </w:rPr>
        <w:t xml:space="preserve">fund </w:t>
      </w:r>
      <w:r w:rsidR="000418D9">
        <w:rPr>
          <w:sz w:val="24"/>
          <w:szCs w:val="24"/>
        </w:rPr>
        <w:t xml:space="preserve">a DB plan </w:t>
      </w:r>
      <w:r w:rsidR="002323F0">
        <w:rPr>
          <w:sz w:val="24"/>
          <w:szCs w:val="24"/>
        </w:rPr>
        <w:t>benefit,</w:t>
      </w:r>
      <w:r w:rsidR="004615D5">
        <w:rPr>
          <w:sz w:val="24"/>
          <w:szCs w:val="24"/>
        </w:rPr>
        <w:t xml:space="preserve"> involves considerable effort</w:t>
      </w:r>
      <w:r>
        <w:rPr>
          <w:sz w:val="24"/>
          <w:szCs w:val="24"/>
        </w:rPr>
        <w:t xml:space="preserve"> and complexity.</w:t>
      </w:r>
    </w:p>
    <w:p w:rsidR="002323F0" w:rsidRDefault="002323F0" w:rsidP="00187ECE">
      <w:pPr>
        <w:rPr>
          <w:sz w:val="24"/>
          <w:szCs w:val="24"/>
        </w:rPr>
      </w:pPr>
    </w:p>
    <w:p w:rsidR="002812E9" w:rsidRDefault="002323F0" w:rsidP="00187ECE">
      <w:pPr>
        <w:rPr>
          <w:sz w:val="24"/>
          <w:szCs w:val="24"/>
        </w:rPr>
      </w:pPr>
      <w:r>
        <w:rPr>
          <w:sz w:val="24"/>
          <w:szCs w:val="24"/>
        </w:rPr>
        <w:t>DB plan c</w:t>
      </w:r>
      <w:r w:rsidR="00A632B7">
        <w:rPr>
          <w:sz w:val="24"/>
          <w:szCs w:val="24"/>
        </w:rPr>
        <w:t xml:space="preserve">omplexity </w:t>
      </w:r>
      <w:r w:rsidR="003E6AFD">
        <w:rPr>
          <w:sz w:val="24"/>
          <w:szCs w:val="24"/>
        </w:rPr>
        <w:t xml:space="preserve">manifests itself </w:t>
      </w:r>
      <w:r w:rsidR="003771E5">
        <w:rPr>
          <w:sz w:val="24"/>
          <w:szCs w:val="24"/>
        </w:rPr>
        <w:t>in several areas</w:t>
      </w:r>
      <w:r w:rsidR="00A632B7">
        <w:rPr>
          <w:sz w:val="24"/>
          <w:szCs w:val="24"/>
        </w:rPr>
        <w:t xml:space="preserve">, including: </w:t>
      </w:r>
    </w:p>
    <w:p w:rsidR="002812E9" w:rsidRDefault="002812E9" w:rsidP="00187ECE">
      <w:pPr>
        <w:rPr>
          <w:sz w:val="24"/>
          <w:szCs w:val="24"/>
        </w:rPr>
      </w:pPr>
    </w:p>
    <w:p w:rsidR="002812E9" w:rsidRDefault="00A632B7" w:rsidP="002812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12E9">
        <w:rPr>
          <w:sz w:val="24"/>
          <w:szCs w:val="24"/>
        </w:rPr>
        <w:t>plan administration</w:t>
      </w:r>
    </w:p>
    <w:p w:rsidR="000418D9" w:rsidRDefault="000418D9" w:rsidP="000418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12E9">
        <w:rPr>
          <w:sz w:val="24"/>
          <w:szCs w:val="24"/>
        </w:rPr>
        <w:t>determining the plan’s liabilities and costs</w:t>
      </w:r>
    </w:p>
    <w:p w:rsidR="000418D9" w:rsidRDefault="000418D9" w:rsidP="000418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managing assets for a large group of individuals across the age spectrum, some who are paying in to the plan and others who are receiving a benefit</w:t>
      </w:r>
    </w:p>
    <w:p w:rsidR="002812E9" w:rsidRDefault="00A632B7" w:rsidP="002812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12E9">
        <w:rPr>
          <w:sz w:val="24"/>
          <w:szCs w:val="24"/>
        </w:rPr>
        <w:t>communicating the value and benefit of the plan to workers</w:t>
      </w:r>
    </w:p>
    <w:p w:rsidR="002812E9" w:rsidRDefault="00A632B7" w:rsidP="002812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12E9">
        <w:rPr>
          <w:sz w:val="24"/>
          <w:szCs w:val="24"/>
        </w:rPr>
        <w:t xml:space="preserve">communicating the </w:t>
      </w:r>
      <w:r w:rsidR="00CE14B0" w:rsidRPr="002812E9">
        <w:rPr>
          <w:sz w:val="24"/>
          <w:szCs w:val="24"/>
        </w:rPr>
        <w:t>benefit of the plan to other stakeholders, such as taxpayers</w:t>
      </w:r>
    </w:p>
    <w:p w:rsidR="002812E9" w:rsidRDefault="00CE14B0" w:rsidP="002812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12E9">
        <w:rPr>
          <w:sz w:val="24"/>
          <w:szCs w:val="24"/>
        </w:rPr>
        <w:t>aligning the plan design with the objectives of plan stakeholders</w:t>
      </w:r>
    </w:p>
    <w:p w:rsidR="00A632B7" w:rsidRPr="003771E5" w:rsidRDefault="00A632B7" w:rsidP="003771E5">
      <w:pPr>
        <w:ind w:left="360"/>
        <w:rPr>
          <w:sz w:val="24"/>
          <w:szCs w:val="24"/>
        </w:rPr>
      </w:pPr>
    </w:p>
    <w:p w:rsidR="006652D5" w:rsidRDefault="002812E9" w:rsidP="00187EC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C0F95">
        <w:rPr>
          <w:sz w:val="24"/>
          <w:szCs w:val="24"/>
        </w:rPr>
        <w:t xml:space="preserve">ecause DC plans are </w:t>
      </w:r>
      <w:r>
        <w:rPr>
          <w:sz w:val="24"/>
          <w:szCs w:val="24"/>
        </w:rPr>
        <w:t xml:space="preserve">relatively simple, </w:t>
      </w:r>
      <w:r w:rsidR="007C0F95">
        <w:rPr>
          <w:sz w:val="24"/>
          <w:szCs w:val="24"/>
        </w:rPr>
        <w:t>and b</w:t>
      </w:r>
      <w:r>
        <w:rPr>
          <w:sz w:val="24"/>
          <w:szCs w:val="24"/>
        </w:rPr>
        <w:t xml:space="preserve">ecause they are the prevailing retirement plan outside the public sector, they </w:t>
      </w:r>
      <w:r w:rsidR="007C0F95">
        <w:rPr>
          <w:sz w:val="24"/>
          <w:szCs w:val="24"/>
        </w:rPr>
        <w:t xml:space="preserve">tend to be </w:t>
      </w:r>
      <w:r>
        <w:rPr>
          <w:sz w:val="24"/>
          <w:szCs w:val="24"/>
        </w:rPr>
        <w:t>better understood by the general public and the media.</w:t>
      </w:r>
      <w:r w:rsidR="00C965C0">
        <w:rPr>
          <w:sz w:val="24"/>
          <w:szCs w:val="24"/>
        </w:rPr>
        <w:t xml:space="preserve"> </w:t>
      </w:r>
      <w:r w:rsidR="003E6AFD">
        <w:rPr>
          <w:sz w:val="24"/>
          <w:szCs w:val="24"/>
        </w:rPr>
        <w:t>T</w:t>
      </w:r>
      <w:r w:rsidR="00C965C0">
        <w:rPr>
          <w:sz w:val="24"/>
          <w:szCs w:val="24"/>
        </w:rPr>
        <w:t>heir simplicity</w:t>
      </w:r>
      <w:r w:rsidR="003E6AFD">
        <w:rPr>
          <w:sz w:val="24"/>
          <w:szCs w:val="24"/>
        </w:rPr>
        <w:t xml:space="preserve"> and familiarity </w:t>
      </w:r>
      <w:r w:rsidR="000418D9">
        <w:rPr>
          <w:sz w:val="24"/>
          <w:szCs w:val="24"/>
        </w:rPr>
        <w:t xml:space="preserve">also </w:t>
      </w:r>
      <w:r w:rsidR="003E6AFD">
        <w:rPr>
          <w:sz w:val="24"/>
          <w:szCs w:val="24"/>
        </w:rPr>
        <w:t xml:space="preserve">make </w:t>
      </w:r>
      <w:r w:rsidR="00C965C0">
        <w:rPr>
          <w:sz w:val="24"/>
          <w:szCs w:val="24"/>
        </w:rPr>
        <w:t xml:space="preserve">DC plans </w:t>
      </w:r>
      <w:r w:rsidR="000A094C">
        <w:rPr>
          <w:sz w:val="24"/>
          <w:szCs w:val="24"/>
        </w:rPr>
        <w:t xml:space="preserve">more prone </w:t>
      </w:r>
      <w:r w:rsidR="00C965C0">
        <w:rPr>
          <w:sz w:val="24"/>
          <w:szCs w:val="24"/>
        </w:rPr>
        <w:t xml:space="preserve">to </w:t>
      </w:r>
      <w:r w:rsidR="00FE086C">
        <w:rPr>
          <w:sz w:val="24"/>
          <w:szCs w:val="24"/>
        </w:rPr>
        <w:t>simple—and sometimes simplistic—</w:t>
      </w:r>
      <w:r w:rsidR="006652D5">
        <w:rPr>
          <w:sz w:val="24"/>
          <w:szCs w:val="24"/>
        </w:rPr>
        <w:t xml:space="preserve">appeals and </w:t>
      </w:r>
      <w:r w:rsidR="00FE086C">
        <w:rPr>
          <w:sz w:val="24"/>
          <w:szCs w:val="24"/>
        </w:rPr>
        <w:t>explanations of their function</w:t>
      </w:r>
      <w:r w:rsidR="00E33533">
        <w:rPr>
          <w:sz w:val="24"/>
          <w:szCs w:val="24"/>
        </w:rPr>
        <w:t>ality</w:t>
      </w:r>
      <w:r w:rsidR="00FE086C">
        <w:rPr>
          <w:sz w:val="24"/>
          <w:szCs w:val="24"/>
        </w:rPr>
        <w:t xml:space="preserve"> and benefits.</w:t>
      </w:r>
      <w:r w:rsidR="007C0F95">
        <w:rPr>
          <w:sz w:val="24"/>
          <w:szCs w:val="24"/>
        </w:rPr>
        <w:t xml:space="preserve"> </w:t>
      </w:r>
    </w:p>
    <w:p w:rsidR="006652D5" w:rsidRDefault="006652D5" w:rsidP="00187ECE">
      <w:pPr>
        <w:rPr>
          <w:sz w:val="24"/>
          <w:szCs w:val="24"/>
        </w:rPr>
      </w:pPr>
    </w:p>
    <w:p w:rsidR="00CE4EA6" w:rsidRDefault="006652D5" w:rsidP="00CE4EA6">
      <w:pPr>
        <w:rPr>
          <w:sz w:val="24"/>
          <w:szCs w:val="24"/>
        </w:rPr>
      </w:pPr>
      <w:r>
        <w:rPr>
          <w:sz w:val="24"/>
          <w:szCs w:val="24"/>
        </w:rPr>
        <w:t xml:space="preserve">By contrast, the inherent complexity of DB plans makes them </w:t>
      </w:r>
      <w:r w:rsidR="007C0F95">
        <w:rPr>
          <w:sz w:val="24"/>
          <w:szCs w:val="24"/>
        </w:rPr>
        <w:t>more difficult to explain and defend to the uninitiated observer.</w:t>
      </w:r>
      <w:r>
        <w:rPr>
          <w:sz w:val="24"/>
          <w:szCs w:val="24"/>
        </w:rPr>
        <w:t xml:space="preserve"> </w:t>
      </w:r>
      <w:r w:rsidR="000A094C">
        <w:rPr>
          <w:sz w:val="24"/>
          <w:szCs w:val="24"/>
        </w:rPr>
        <w:t>A</w:t>
      </w:r>
      <w:r w:rsidR="00CE4EA6">
        <w:rPr>
          <w:sz w:val="24"/>
          <w:szCs w:val="24"/>
        </w:rPr>
        <w:t xml:space="preserve"> key risk of a DB plan is that its complexity can increase the likelihood of plan malfunction. Such malfunction could take any of multiple forms, such as </w:t>
      </w:r>
      <w:r w:rsidR="00A42181">
        <w:rPr>
          <w:sz w:val="24"/>
          <w:szCs w:val="24"/>
        </w:rPr>
        <w:t>mis</w:t>
      </w:r>
      <w:r w:rsidR="00CE4EA6">
        <w:rPr>
          <w:sz w:val="24"/>
          <w:szCs w:val="24"/>
        </w:rPr>
        <w:t>calculation of costs or liabilities</w:t>
      </w:r>
      <w:r w:rsidR="007C0F95">
        <w:rPr>
          <w:sz w:val="24"/>
          <w:szCs w:val="24"/>
        </w:rPr>
        <w:t>. This</w:t>
      </w:r>
      <w:r w:rsidR="00CE4EA6">
        <w:rPr>
          <w:sz w:val="24"/>
          <w:szCs w:val="24"/>
        </w:rPr>
        <w:t xml:space="preserve">, in turn, could result in a </w:t>
      </w:r>
      <w:r w:rsidR="00FD67B2">
        <w:rPr>
          <w:sz w:val="24"/>
          <w:szCs w:val="24"/>
        </w:rPr>
        <w:t xml:space="preserve">misallocation of </w:t>
      </w:r>
      <w:r w:rsidR="00A42181">
        <w:rPr>
          <w:sz w:val="24"/>
          <w:szCs w:val="24"/>
        </w:rPr>
        <w:t xml:space="preserve">costs </w:t>
      </w:r>
      <w:r w:rsidR="00FD67B2">
        <w:rPr>
          <w:sz w:val="24"/>
          <w:szCs w:val="24"/>
        </w:rPr>
        <w:t xml:space="preserve">among </w:t>
      </w:r>
      <w:r w:rsidR="00A42181">
        <w:rPr>
          <w:sz w:val="24"/>
          <w:szCs w:val="24"/>
        </w:rPr>
        <w:t>generations.</w:t>
      </w:r>
    </w:p>
    <w:p w:rsidR="00CE4EA6" w:rsidRDefault="00CE4EA6" w:rsidP="00187ECE">
      <w:pPr>
        <w:rPr>
          <w:sz w:val="24"/>
          <w:szCs w:val="24"/>
        </w:rPr>
      </w:pPr>
    </w:p>
    <w:p w:rsidR="000A094C" w:rsidRDefault="000418D9" w:rsidP="00187EC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70C0B">
        <w:rPr>
          <w:sz w:val="24"/>
          <w:szCs w:val="24"/>
        </w:rPr>
        <w:t xml:space="preserve"> pension plan is designed to </w:t>
      </w:r>
      <w:r w:rsidR="000A094C">
        <w:rPr>
          <w:sz w:val="24"/>
          <w:szCs w:val="24"/>
        </w:rPr>
        <w:t xml:space="preserve">operate </w:t>
      </w:r>
      <w:r w:rsidR="00670C0B">
        <w:rPr>
          <w:sz w:val="24"/>
          <w:szCs w:val="24"/>
        </w:rPr>
        <w:t xml:space="preserve">on a long-term basis, </w:t>
      </w:r>
      <w:r w:rsidR="00D7148E">
        <w:rPr>
          <w:sz w:val="24"/>
          <w:szCs w:val="24"/>
        </w:rPr>
        <w:t xml:space="preserve">which is the timeframe needed for a </w:t>
      </w:r>
      <w:r>
        <w:rPr>
          <w:sz w:val="24"/>
          <w:szCs w:val="24"/>
        </w:rPr>
        <w:t>plan</w:t>
      </w:r>
      <w:r w:rsidR="00D7148E">
        <w:rPr>
          <w:sz w:val="24"/>
          <w:szCs w:val="24"/>
        </w:rPr>
        <w:t xml:space="preserve"> to realize its </w:t>
      </w:r>
      <w:r>
        <w:rPr>
          <w:sz w:val="24"/>
          <w:szCs w:val="24"/>
        </w:rPr>
        <w:t xml:space="preserve">full </w:t>
      </w:r>
      <w:r w:rsidR="000A094C">
        <w:rPr>
          <w:sz w:val="24"/>
          <w:szCs w:val="24"/>
        </w:rPr>
        <w:t>a</w:t>
      </w:r>
      <w:r w:rsidR="00670C0B">
        <w:rPr>
          <w:sz w:val="24"/>
          <w:szCs w:val="24"/>
        </w:rPr>
        <w:t xml:space="preserve">ctuarial experience. Frequent changes </w:t>
      </w:r>
      <w:r w:rsidR="00FD67B2">
        <w:rPr>
          <w:sz w:val="24"/>
          <w:szCs w:val="24"/>
        </w:rPr>
        <w:t xml:space="preserve">made </w:t>
      </w:r>
      <w:r w:rsidR="00670C0B">
        <w:rPr>
          <w:sz w:val="24"/>
          <w:szCs w:val="24"/>
        </w:rPr>
        <w:t xml:space="preserve">to </w:t>
      </w:r>
      <w:r w:rsidR="00FD67B2">
        <w:rPr>
          <w:sz w:val="24"/>
          <w:szCs w:val="24"/>
        </w:rPr>
        <w:t xml:space="preserve">the </w:t>
      </w:r>
      <w:r w:rsidR="00670C0B">
        <w:rPr>
          <w:sz w:val="24"/>
          <w:szCs w:val="24"/>
        </w:rPr>
        <w:t xml:space="preserve">design </w:t>
      </w:r>
      <w:r w:rsidR="00FD67B2">
        <w:rPr>
          <w:sz w:val="24"/>
          <w:szCs w:val="24"/>
        </w:rPr>
        <w:t xml:space="preserve">of a pension plan </w:t>
      </w:r>
      <w:r w:rsidR="00670C0B">
        <w:rPr>
          <w:sz w:val="24"/>
          <w:szCs w:val="24"/>
        </w:rPr>
        <w:t xml:space="preserve">conflict with the </w:t>
      </w:r>
      <w:r w:rsidR="00D7148E">
        <w:rPr>
          <w:sz w:val="24"/>
          <w:szCs w:val="24"/>
        </w:rPr>
        <w:t xml:space="preserve">plan’s </w:t>
      </w:r>
      <w:r w:rsidR="00670C0B">
        <w:rPr>
          <w:sz w:val="24"/>
          <w:szCs w:val="24"/>
        </w:rPr>
        <w:t>long-term nature and can disrupt its actuarial balance.</w:t>
      </w:r>
      <w:r w:rsidR="00CE4EA6">
        <w:rPr>
          <w:sz w:val="24"/>
          <w:szCs w:val="24"/>
        </w:rPr>
        <w:t xml:space="preserve"> </w:t>
      </w:r>
    </w:p>
    <w:p w:rsidR="000A094C" w:rsidRDefault="000A094C" w:rsidP="00187ECE">
      <w:pPr>
        <w:rPr>
          <w:sz w:val="24"/>
          <w:szCs w:val="24"/>
        </w:rPr>
      </w:pPr>
    </w:p>
    <w:p w:rsidR="00670C0B" w:rsidRDefault="00CE4EA6" w:rsidP="00187ECE">
      <w:pPr>
        <w:rPr>
          <w:sz w:val="24"/>
          <w:szCs w:val="24"/>
        </w:rPr>
      </w:pPr>
      <w:r>
        <w:rPr>
          <w:sz w:val="24"/>
          <w:szCs w:val="24"/>
        </w:rPr>
        <w:t xml:space="preserve">Ironically, </w:t>
      </w:r>
      <w:r w:rsidR="00F35F48">
        <w:rPr>
          <w:sz w:val="24"/>
          <w:szCs w:val="24"/>
        </w:rPr>
        <w:t>tinkering with a pension plan’s design can encourage additional revision,</w:t>
      </w:r>
      <w:r>
        <w:rPr>
          <w:sz w:val="24"/>
          <w:szCs w:val="24"/>
        </w:rPr>
        <w:t xml:space="preserve"> in two ways: first, to offset </w:t>
      </w:r>
      <w:r w:rsidR="000418D9">
        <w:rPr>
          <w:sz w:val="24"/>
          <w:szCs w:val="24"/>
        </w:rPr>
        <w:t xml:space="preserve">or respond to </w:t>
      </w:r>
      <w:r>
        <w:rPr>
          <w:sz w:val="24"/>
          <w:szCs w:val="24"/>
        </w:rPr>
        <w:t>the effects of previous tinkering; and also, because plan revisions</w:t>
      </w:r>
      <w:r w:rsidR="000A094C">
        <w:rPr>
          <w:sz w:val="24"/>
          <w:szCs w:val="24"/>
        </w:rPr>
        <w:t xml:space="preserve"> foster an environment in which </w:t>
      </w:r>
      <w:r>
        <w:rPr>
          <w:sz w:val="24"/>
          <w:szCs w:val="24"/>
        </w:rPr>
        <w:t xml:space="preserve">tinkering is </w:t>
      </w:r>
      <w:r w:rsidR="000A094C">
        <w:rPr>
          <w:sz w:val="24"/>
          <w:szCs w:val="24"/>
        </w:rPr>
        <w:t xml:space="preserve">perceived to be </w:t>
      </w:r>
      <w:r w:rsidR="000418D9">
        <w:rPr>
          <w:sz w:val="24"/>
          <w:szCs w:val="24"/>
        </w:rPr>
        <w:t>a normal event.</w:t>
      </w:r>
    </w:p>
    <w:p w:rsidR="00CE4EA6" w:rsidRDefault="00CE4EA6" w:rsidP="00187ECE">
      <w:pPr>
        <w:rPr>
          <w:sz w:val="24"/>
          <w:szCs w:val="24"/>
        </w:rPr>
      </w:pPr>
    </w:p>
    <w:p w:rsidR="007E17F8" w:rsidRDefault="007E17F8" w:rsidP="00CE4EA6">
      <w:pPr>
        <w:rPr>
          <w:sz w:val="24"/>
          <w:szCs w:val="24"/>
        </w:rPr>
      </w:pPr>
      <w:r>
        <w:rPr>
          <w:sz w:val="24"/>
          <w:szCs w:val="24"/>
        </w:rPr>
        <w:t>Complexity of plan design, however, is just one factor for policymakers to consider</w:t>
      </w:r>
      <w:r w:rsidR="00FD67B2">
        <w:rPr>
          <w:sz w:val="24"/>
          <w:szCs w:val="24"/>
        </w:rPr>
        <w:t xml:space="preserve"> in evaluating a retirement benefit</w:t>
      </w:r>
      <w:r>
        <w:rPr>
          <w:sz w:val="24"/>
          <w:szCs w:val="24"/>
        </w:rPr>
        <w:t xml:space="preserve">. As mentioned previously, a DC plan </w:t>
      </w:r>
      <w:r w:rsidR="000418D9">
        <w:rPr>
          <w:sz w:val="24"/>
          <w:szCs w:val="24"/>
        </w:rPr>
        <w:t>may be</w:t>
      </w:r>
      <w:r>
        <w:rPr>
          <w:sz w:val="24"/>
          <w:szCs w:val="24"/>
        </w:rPr>
        <w:t xml:space="preserve"> simple, but </w:t>
      </w:r>
      <w:r w:rsidR="000418D9">
        <w:rPr>
          <w:sz w:val="24"/>
          <w:szCs w:val="24"/>
        </w:rPr>
        <w:t xml:space="preserve">it </w:t>
      </w:r>
      <w:r>
        <w:rPr>
          <w:sz w:val="24"/>
          <w:szCs w:val="24"/>
        </w:rPr>
        <w:t>also is a</w:t>
      </w:r>
      <w:r w:rsidR="003E6AFD">
        <w:rPr>
          <w:sz w:val="24"/>
          <w:szCs w:val="24"/>
        </w:rPr>
        <w:t>n</w:t>
      </w:r>
      <w:r>
        <w:rPr>
          <w:sz w:val="24"/>
          <w:szCs w:val="24"/>
        </w:rPr>
        <w:t xml:space="preserve"> unreliable </w:t>
      </w:r>
      <w:r w:rsidR="003E6AFD">
        <w:rPr>
          <w:sz w:val="24"/>
          <w:szCs w:val="24"/>
        </w:rPr>
        <w:t xml:space="preserve">vehicle </w:t>
      </w:r>
      <w:r>
        <w:rPr>
          <w:sz w:val="24"/>
          <w:szCs w:val="24"/>
        </w:rPr>
        <w:t xml:space="preserve">for delivering retirement income. The </w:t>
      </w:r>
      <w:r w:rsidR="003E6AFD">
        <w:rPr>
          <w:sz w:val="24"/>
          <w:szCs w:val="24"/>
        </w:rPr>
        <w:t xml:space="preserve">goal </w:t>
      </w:r>
      <w:r w:rsidR="006652D5">
        <w:rPr>
          <w:sz w:val="24"/>
          <w:szCs w:val="24"/>
        </w:rPr>
        <w:t xml:space="preserve">in designing and maintaining a retirement benefit </w:t>
      </w:r>
      <w:r>
        <w:rPr>
          <w:sz w:val="24"/>
          <w:szCs w:val="24"/>
        </w:rPr>
        <w:t xml:space="preserve">should be not solely to simplify the plan, but </w:t>
      </w:r>
      <w:r w:rsidR="006652D5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to strike a balance between </w:t>
      </w:r>
      <w:r w:rsidR="00FD67B2">
        <w:rPr>
          <w:sz w:val="24"/>
          <w:szCs w:val="24"/>
        </w:rPr>
        <w:t xml:space="preserve">these key objectives: </w:t>
      </w:r>
      <w:r w:rsidR="003E6AFD">
        <w:rPr>
          <w:sz w:val="24"/>
          <w:szCs w:val="24"/>
        </w:rPr>
        <w:t xml:space="preserve">simplicity, </w:t>
      </w:r>
      <w:r>
        <w:rPr>
          <w:sz w:val="24"/>
          <w:szCs w:val="24"/>
        </w:rPr>
        <w:t xml:space="preserve">adequacy of benefits, cost stability, and affordability. The Burlington ERP </w:t>
      </w:r>
      <w:r w:rsidR="006652D5">
        <w:rPr>
          <w:sz w:val="24"/>
          <w:szCs w:val="24"/>
        </w:rPr>
        <w:t>a</w:t>
      </w:r>
      <w:r>
        <w:rPr>
          <w:sz w:val="24"/>
          <w:szCs w:val="24"/>
        </w:rPr>
        <w:t xml:space="preserve">ppears to fall short in three of these areas. </w:t>
      </w:r>
    </w:p>
    <w:p w:rsidR="007E17F8" w:rsidRDefault="007E17F8" w:rsidP="00CE4EA6">
      <w:pPr>
        <w:rPr>
          <w:sz w:val="24"/>
          <w:szCs w:val="24"/>
        </w:rPr>
      </w:pPr>
    </w:p>
    <w:p w:rsidR="00CE4EA6" w:rsidRDefault="00CE4EA6" w:rsidP="00CE4EA6">
      <w:pPr>
        <w:rPr>
          <w:sz w:val="24"/>
          <w:szCs w:val="24"/>
        </w:rPr>
      </w:pPr>
      <w:r>
        <w:rPr>
          <w:sz w:val="24"/>
          <w:szCs w:val="24"/>
        </w:rPr>
        <w:t xml:space="preserve">Key features of the City of Burlington’s retirement plan appear to have been amended </w:t>
      </w:r>
      <w:r w:rsidR="00E65E21">
        <w:rPr>
          <w:sz w:val="24"/>
          <w:szCs w:val="24"/>
        </w:rPr>
        <w:t>on multiple occasions</w:t>
      </w:r>
      <w:r w:rsidR="000A094C">
        <w:rPr>
          <w:sz w:val="24"/>
          <w:szCs w:val="24"/>
        </w:rPr>
        <w:t>. Th</w:t>
      </w:r>
      <w:r w:rsidR="00FD67B2">
        <w:rPr>
          <w:sz w:val="24"/>
          <w:szCs w:val="24"/>
        </w:rPr>
        <w:t xml:space="preserve">ese amendments </w:t>
      </w:r>
      <w:r w:rsidR="00E65E21">
        <w:rPr>
          <w:sz w:val="24"/>
          <w:szCs w:val="24"/>
        </w:rPr>
        <w:t xml:space="preserve">appear to </w:t>
      </w:r>
      <w:r w:rsidR="000A094C">
        <w:rPr>
          <w:sz w:val="24"/>
          <w:szCs w:val="24"/>
        </w:rPr>
        <w:t>ha</w:t>
      </w:r>
      <w:r w:rsidR="00E65E21">
        <w:rPr>
          <w:sz w:val="24"/>
          <w:szCs w:val="24"/>
        </w:rPr>
        <w:t xml:space="preserve">ve </w:t>
      </w:r>
      <w:r w:rsidR="00FD67B2">
        <w:rPr>
          <w:sz w:val="24"/>
          <w:szCs w:val="24"/>
        </w:rPr>
        <w:t xml:space="preserve">been intended either </w:t>
      </w:r>
      <w:r w:rsidR="00E65E21">
        <w:rPr>
          <w:sz w:val="24"/>
          <w:szCs w:val="24"/>
        </w:rPr>
        <w:t xml:space="preserve">to reduce employer plan costs </w:t>
      </w:r>
      <w:r w:rsidR="003771E5">
        <w:rPr>
          <w:sz w:val="24"/>
          <w:szCs w:val="24"/>
        </w:rPr>
        <w:t>or</w:t>
      </w:r>
      <w:r w:rsidR="007E17F8">
        <w:rPr>
          <w:sz w:val="24"/>
          <w:szCs w:val="24"/>
        </w:rPr>
        <w:t xml:space="preserve"> as part of labor negotiations.</w:t>
      </w:r>
    </w:p>
    <w:p w:rsidR="003771E5" w:rsidRDefault="003771E5" w:rsidP="00CE4EA6">
      <w:pPr>
        <w:rPr>
          <w:sz w:val="24"/>
          <w:szCs w:val="24"/>
        </w:rPr>
      </w:pPr>
    </w:p>
    <w:p w:rsidR="00AF2607" w:rsidRDefault="00AF2607" w:rsidP="00CE4EA6">
      <w:pPr>
        <w:rPr>
          <w:sz w:val="24"/>
          <w:szCs w:val="24"/>
        </w:rPr>
      </w:pPr>
      <w:r>
        <w:rPr>
          <w:sz w:val="24"/>
          <w:szCs w:val="24"/>
        </w:rPr>
        <w:t xml:space="preserve">Complexity of retirement plan design can </w:t>
      </w:r>
      <w:r w:rsidR="007E17F8">
        <w:rPr>
          <w:sz w:val="24"/>
          <w:szCs w:val="24"/>
        </w:rPr>
        <w:t>diminish</w:t>
      </w:r>
      <w:r>
        <w:rPr>
          <w:sz w:val="24"/>
          <w:szCs w:val="24"/>
        </w:rPr>
        <w:t xml:space="preserve"> public support for a retirement benefit. Members of the public who see a plan </w:t>
      </w:r>
      <w:r w:rsidR="007E17F8">
        <w:rPr>
          <w:sz w:val="24"/>
          <w:szCs w:val="24"/>
        </w:rPr>
        <w:t xml:space="preserve">a) whose benefits or funding structure are difficult to understand; b) that is or seems to be </w:t>
      </w:r>
      <w:r>
        <w:rPr>
          <w:sz w:val="24"/>
          <w:szCs w:val="24"/>
        </w:rPr>
        <w:t xml:space="preserve">frequently </w:t>
      </w:r>
      <w:r w:rsidR="007E17F8">
        <w:rPr>
          <w:sz w:val="24"/>
          <w:szCs w:val="24"/>
        </w:rPr>
        <w:t xml:space="preserve">adjusted; </w:t>
      </w:r>
      <w:r w:rsidR="006652D5">
        <w:rPr>
          <w:sz w:val="24"/>
          <w:szCs w:val="24"/>
        </w:rPr>
        <w:t>or</w:t>
      </w:r>
      <w:r w:rsidR="007E17F8">
        <w:rPr>
          <w:sz w:val="24"/>
          <w:szCs w:val="24"/>
        </w:rPr>
        <w:t xml:space="preserve"> c) that</w:t>
      </w:r>
      <w:r>
        <w:rPr>
          <w:sz w:val="24"/>
          <w:szCs w:val="24"/>
        </w:rPr>
        <w:t xml:space="preserve"> </w:t>
      </w:r>
      <w:r w:rsidR="007E17F8">
        <w:rPr>
          <w:sz w:val="24"/>
          <w:szCs w:val="24"/>
        </w:rPr>
        <w:t xml:space="preserve">appears to </w:t>
      </w:r>
      <w:r>
        <w:rPr>
          <w:sz w:val="24"/>
          <w:szCs w:val="24"/>
        </w:rPr>
        <w:t xml:space="preserve">favor certain groups over others </w:t>
      </w:r>
      <w:r w:rsidR="006652D5">
        <w:rPr>
          <w:sz w:val="24"/>
          <w:szCs w:val="24"/>
        </w:rPr>
        <w:t xml:space="preserve">due to workers’ </w:t>
      </w:r>
      <w:r>
        <w:rPr>
          <w:sz w:val="24"/>
          <w:szCs w:val="24"/>
        </w:rPr>
        <w:t>affiliation</w:t>
      </w:r>
      <w:r w:rsidR="006652D5">
        <w:rPr>
          <w:sz w:val="24"/>
          <w:szCs w:val="24"/>
        </w:rPr>
        <w:t xml:space="preserve"> or political influence</w:t>
      </w:r>
      <w:r>
        <w:rPr>
          <w:sz w:val="24"/>
          <w:szCs w:val="24"/>
        </w:rPr>
        <w:t xml:space="preserve">, </w:t>
      </w:r>
      <w:r w:rsidR="007E17F8">
        <w:rPr>
          <w:sz w:val="24"/>
          <w:szCs w:val="24"/>
        </w:rPr>
        <w:t xml:space="preserve">may perceive </w:t>
      </w:r>
      <w:r>
        <w:rPr>
          <w:sz w:val="24"/>
          <w:szCs w:val="24"/>
        </w:rPr>
        <w:t xml:space="preserve">the system </w:t>
      </w:r>
      <w:r w:rsidR="00FD67B2">
        <w:rPr>
          <w:sz w:val="24"/>
          <w:szCs w:val="24"/>
        </w:rPr>
        <w:t>tilted in favor of certain groups, whether or not such a perception is justified</w:t>
      </w:r>
      <w:r>
        <w:rPr>
          <w:sz w:val="24"/>
          <w:szCs w:val="24"/>
        </w:rPr>
        <w:t>.</w:t>
      </w:r>
    </w:p>
    <w:p w:rsidR="00AF2607" w:rsidRDefault="00AF2607" w:rsidP="00CE4EA6">
      <w:pPr>
        <w:rPr>
          <w:sz w:val="24"/>
          <w:szCs w:val="24"/>
        </w:rPr>
      </w:pPr>
    </w:p>
    <w:p w:rsidR="00BB3236" w:rsidRDefault="00BB3236" w:rsidP="004C776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city may wish to consider the following goals related to the complexity of the plan:</w:t>
      </w:r>
    </w:p>
    <w:p w:rsidR="004C776F" w:rsidRDefault="004C776F" w:rsidP="004C776F">
      <w:pPr>
        <w:rPr>
          <w:sz w:val="24"/>
          <w:szCs w:val="24"/>
        </w:rPr>
      </w:pPr>
    </w:p>
    <w:p w:rsidR="004C776F" w:rsidRDefault="004C776F" w:rsidP="004C776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Resolve to </w:t>
      </w:r>
      <w:r w:rsidR="00BB3236">
        <w:rPr>
          <w:sz w:val="24"/>
          <w:szCs w:val="24"/>
        </w:rPr>
        <w:t>establish and maintain</w:t>
      </w:r>
      <w:r>
        <w:rPr>
          <w:sz w:val="24"/>
          <w:szCs w:val="24"/>
        </w:rPr>
        <w:t xml:space="preserve"> a retirement plan design that is </w:t>
      </w:r>
      <w:r w:rsidR="00FD67B2">
        <w:rPr>
          <w:sz w:val="24"/>
          <w:szCs w:val="24"/>
        </w:rPr>
        <w:t xml:space="preserve">a) </w:t>
      </w:r>
      <w:r>
        <w:rPr>
          <w:sz w:val="24"/>
          <w:szCs w:val="24"/>
        </w:rPr>
        <w:t>simple</w:t>
      </w:r>
      <w:r w:rsidR="00FD67B2">
        <w:rPr>
          <w:sz w:val="24"/>
          <w:szCs w:val="24"/>
        </w:rPr>
        <w:t xml:space="preserve">; b) </w:t>
      </w:r>
      <w:r>
        <w:rPr>
          <w:sz w:val="24"/>
          <w:szCs w:val="24"/>
        </w:rPr>
        <w:t xml:space="preserve"> comprehensible </w:t>
      </w:r>
      <w:r w:rsidR="00842E2A">
        <w:rPr>
          <w:sz w:val="24"/>
          <w:szCs w:val="24"/>
        </w:rPr>
        <w:t>to casual observer</w:t>
      </w:r>
      <w:r w:rsidR="00BB3236">
        <w:rPr>
          <w:sz w:val="24"/>
          <w:szCs w:val="24"/>
        </w:rPr>
        <w:t>s</w:t>
      </w:r>
      <w:r w:rsidR="00FD67B2">
        <w:rPr>
          <w:sz w:val="24"/>
          <w:szCs w:val="24"/>
        </w:rPr>
        <w:t>;</w:t>
      </w:r>
      <w:r w:rsidR="00842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FD67B2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that aligns the benefit with the employer’s </w:t>
      </w:r>
      <w:r w:rsidR="00A81204">
        <w:rPr>
          <w:sz w:val="24"/>
          <w:szCs w:val="24"/>
        </w:rPr>
        <w:t xml:space="preserve">key objectives: </w:t>
      </w:r>
      <w:r>
        <w:rPr>
          <w:sz w:val="24"/>
          <w:szCs w:val="24"/>
        </w:rPr>
        <w:t>to attract and to retain qualified workers</w:t>
      </w:r>
      <w:r w:rsidR="00A81204">
        <w:rPr>
          <w:sz w:val="24"/>
          <w:szCs w:val="24"/>
        </w:rPr>
        <w:t>, and to enable those workers to retire in a predictable and orderly manner</w:t>
      </w:r>
      <w:r>
        <w:rPr>
          <w:sz w:val="24"/>
          <w:szCs w:val="24"/>
        </w:rPr>
        <w:t>.</w:t>
      </w:r>
      <w:r w:rsidR="00EF6084">
        <w:rPr>
          <w:sz w:val="24"/>
          <w:szCs w:val="24"/>
        </w:rPr>
        <w:t xml:space="preserve"> Perhaps the </w:t>
      </w:r>
      <w:r w:rsidR="00A81204">
        <w:rPr>
          <w:sz w:val="24"/>
          <w:szCs w:val="24"/>
        </w:rPr>
        <w:t xml:space="preserve">city’s </w:t>
      </w:r>
      <w:r w:rsidR="00EF6084">
        <w:rPr>
          <w:sz w:val="24"/>
          <w:szCs w:val="24"/>
        </w:rPr>
        <w:t xml:space="preserve">goal could be to describe the plan design on </w:t>
      </w:r>
      <w:r w:rsidR="00FD67B2">
        <w:rPr>
          <w:sz w:val="24"/>
          <w:szCs w:val="24"/>
        </w:rPr>
        <w:t>a single</w:t>
      </w:r>
      <w:r w:rsidR="00EF6084">
        <w:rPr>
          <w:sz w:val="24"/>
          <w:szCs w:val="24"/>
        </w:rPr>
        <w:t xml:space="preserve"> side of a 3 x 5 index card.</w:t>
      </w:r>
    </w:p>
    <w:p w:rsidR="00AF2607" w:rsidRPr="00AF2607" w:rsidRDefault="00AF2607" w:rsidP="00AF2607">
      <w:pPr>
        <w:ind w:left="360"/>
        <w:rPr>
          <w:sz w:val="24"/>
          <w:szCs w:val="24"/>
        </w:rPr>
      </w:pPr>
    </w:p>
    <w:p w:rsidR="00AF2607" w:rsidRPr="00EF6084" w:rsidRDefault="004C776F" w:rsidP="00AF26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F6084">
        <w:rPr>
          <w:sz w:val="24"/>
          <w:szCs w:val="24"/>
        </w:rPr>
        <w:t xml:space="preserve">Resolve that </w:t>
      </w:r>
      <w:r w:rsidR="00AF2607" w:rsidRPr="00EF6084">
        <w:rPr>
          <w:sz w:val="24"/>
          <w:szCs w:val="24"/>
        </w:rPr>
        <w:t xml:space="preserve">the city’s </w:t>
      </w:r>
      <w:r w:rsidRPr="00EF6084">
        <w:rPr>
          <w:sz w:val="24"/>
          <w:szCs w:val="24"/>
        </w:rPr>
        <w:t xml:space="preserve">retirement benefit plan design shall </w:t>
      </w:r>
      <w:r w:rsidR="00BB3236">
        <w:rPr>
          <w:sz w:val="24"/>
          <w:szCs w:val="24"/>
        </w:rPr>
        <w:t xml:space="preserve">be changed only under pre-defined conditions (for example, attainment of a specified funding level or a UAL equal to a designated percentage of city payroll), </w:t>
      </w:r>
      <w:r w:rsidR="00AF2607" w:rsidRPr="00EF6084">
        <w:rPr>
          <w:sz w:val="24"/>
          <w:szCs w:val="24"/>
        </w:rPr>
        <w:t xml:space="preserve">and </w:t>
      </w:r>
      <w:r w:rsidR="00BB3236">
        <w:rPr>
          <w:sz w:val="24"/>
          <w:szCs w:val="24"/>
        </w:rPr>
        <w:t>that such changes s</w:t>
      </w:r>
      <w:r w:rsidRPr="00EF6084">
        <w:rPr>
          <w:sz w:val="24"/>
          <w:szCs w:val="24"/>
        </w:rPr>
        <w:t xml:space="preserve">hall </w:t>
      </w:r>
      <w:r w:rsidR="00101B2B">
        <w:rPr>
          <w:sz w:val="24"/>
          <w:szCs w:val="24"/>
        </w:rPr>
        <w:t xml:space="preserve">also be pre-defined (for example, adjustments in employee </w:t>
      </w:r>
      <w:r w:rsidR="00A81204">
        <w:rPr>
          <w:sz w:val="24"/>
          <w:szCs w:val="24"/>
        </w:rPr>
        <w:t xml:space="preserve">or employer </w:t>
      </w:r>
      <w:r w:rsidR="00101B2B">
        <w:rPr>
          <w:sz w:val="24"/>
          <w:szCs w:val="24"/>
        </w:rPr>
        <w:t>contribution rates</w:t>
      </w:r>
      <w:r w:rsidR="00A81204">
        <w:rPr>
          <w:sz w:val="24"/>
          <w:szCs w:val="24"/>
        </w:rPr>
        <w:t>).</w:t>
      </w:r>
    </w:p>
    <w:p w:rsidR="00AF2607" w:rsidRDefault="00AF2607" w:rsidP="00AF2607">
      <w:pPr>
        <w:pStyle w:val="ListParagraph"/>
        <w:rPr>
          <w:sz w:val="24"/>
          <w:szCs w:val="24"/>
        </w:rPr>
      </w:pPr>
    </w:p>
    <w:p w:rsidR="00D7148E" w:rsidRDefault="00D7148E" w:rsidP="004C776F">
      <w:pPr>
        <w:rPr>
          <w:sz w:val="24"/>
          <w:szCs w:val="24"/>
        </w:rPr>
      </w:pPr>
    </w:p>
    <w:p w:rsidR="00D7148E" w:rsidRDefault="00D7148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148E" w:rsidRPr="00DE4116" w:rsidRDefault="00D7148E" w:rsidP="00D7148E">
      <w:pPr>
        <w:rPr>
          <w:b/>
          <w:sz w:val="24"/>
          <w:szCs w:val="24"/>
        </w:rPr>
      </w:pPr>
      <w:r w:rsidRPr="00D7148E">
        <w:rPr>
          <w:b/>
          <w:sz w:val="24"/>
          <w:szCs w:val="24"/>
        </w:rPr>
        <w:lastRenderedPageBreak/>
        <w:t>Appendix: Summary</w:t>
      </w:r>
      <w:r w:rsidRPr="00DE4116">
        <w:rPr>
          <w:b/>
          <w:sz w:val="24"/>
          <w:szCs w:val="24"/>
        </w:rPr>
        <w:t xml:space="preserve"> of Class A retirement benefit provisions</w:t>
      </w:r>
    </w:p>
    <w:p w:rsidR="00D7148E" w:rsidRDefault="00D7148E" w:rsidP="00D7148E">
      <w:pPr>
        <w:rPr>
          <w:sz w:val="24"/>
          <w:szCs w:val="24"/>
        </w:rPr>
      </w:pP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Fire employees hired before 1/1/07: 2.75% plus 0.5% for years between 25 and 35</w:t>
      </w: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Police employees hired before 7/1/06: 2.75% plus 0.5% for years between 25 and 35</w:t>
      </w: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Police employees hired after 1/10/11: 2.5% plus 0.5% for years between 20 and 25</w:t>
      </w: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others: 2.65% plus 0.5% for years between 25 and 35</w:t>
      </w: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Hired before 7/1/06: may choose 3.25% plus 0.5% for years between 25 and 35, and a one-half COLA, or 3.8% for all service before 6/30/06 for first 25 years; 3.6% for service since 7/1/06 up to 25 years, plus 0.5% for years between 25 and 35</w:t>
      </w: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Fire employees hired after 12/31/06: full COLA only</w:t>
      </w: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Police employees hired after 6/30/06: full COLA only</w:t>
      </w: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Police employees hired after 1/10/11: retirement benefit reduced actuarially for retirement before age 50 </w:t>
      </w: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Fire employees hired after 10/7/11: retirement benefit reduced actuarially for retirement before age 50</w:t>
      </w: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Fire employees hired before 10/8/11 who retire after 6/30/13: retirement benefit is reduced actuarially until age 48 for period by which retirement precedes age 55</w:t>
      </w: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others, prior to age 55, benefit is reduced actuarially for period by which retirement precedes the earlier of 25 years of service and age 55.</w:t>
      </w:r>
    </w:p>
    <w:p w:rsidR="00D7148E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employees who terminate with 20 to 25 years of service, benefit is reduced by 1.82% for each year that service is less than 25</w:t>
      </w:r>
    </w:p>
    <w:p w:rsidR="00D7148E" w:rsidRPr="002D3FB6" w:rsidRDefault="00D7148E" w:rsidP="00D7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all Class A workers: 1.07 years of credit for each year in which employee worked prior to 7/1/96 and 1.17 years thereafter, in a position regularly assigned a workweek consisting on average of 53+ hours of work per week.</w:t>
      </w:r>
    </w:p>
    <w:p w:rsidR="00D7148E" w:rsidRDefault="00D7148E" w:rsidP="00D7148E">
      <w:pPr>
        <w:rPr>
          <w:sz w:val="24"/>
          <w:szCs w:val="24"/>
        </w:rPr>
      </w:pPr>
    </w:p>
    <w:p w:rsidR="00D7148E" w:rsidRPr="00DE4116" w:rsidRDefault="00D7148E" w:rsidP="00D7148E">
      <w:pPr>
        <w:rPr>
          <w:b/>
          <w:sz w:val="24"/>
          <w:szCs w:val="24"/>
        </w:rPr>
      </w:pPr>
      <w:r w:rsidRPr="00DE4116">
        <w:rPr>
          <w:b/>
          <w:sz w:val="24"/>
          <w:szCs w:val="24"/>
        </w:rPr>
        <w:t>Summary of Class B retirement benefit provisions</w:t>
      </w:r>
    </w:p>
    <w:p w:rsidR="00D7148E" w:rsidRDefault="00D7148E" w:rsidP="00D7148E">
      <w:pPr>
        <w:rPr>
          <w:sz w:val="24"/>
          <w:szCs w:val="24"/>
        </w:rPr>
      </w:pPr>
    </w:p>
    <w:p w:rsidR="00D7148E" w:rsidRDefault="00D7148E" w:rsidP="00D714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Employees hired prior to 7/1/06: age 65+, greater of 1.6% for years to 25 plus 0.5% for years above 25, or the actuarial equivalent of benefit determined at age 65</w:t>
      </w:r>
    </w:p>
    <w:p w:rsidR="00D7148E" w:rsidRDefault="00D7148E" w:rsidP="00D714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Employees hired after 6/30/06: age 65+, greater of 1.4% for first 25 years of service plus 0.5% at age 65 for years above 25, or actuarial equivalent of benefit determined at age 65</w:t>
      </w:r>
    </w:p>
    <w:p w:rsidR="00D7148E" w:rsidRDefault="00D7148E" w:rsidP="00D714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Or, member may choose 1.9% for service up to 6/30/06 for first 25 years, 1.8% for years since 7/1/06 for first 25 years, plus 0.5% for service above 25 years, and half COLA, or 2.2% for all service before 7/1/06 for first 25 years, 2.0% for service beginning 7/1/06 for first 25 years plus 0.5% for service above 25 years, and no COLA</w:t>
      </w:r>
    </w:p>
    <w:p w:rsidR="00D7148E" w:rsidRDefault="00D7148E" w:rsidP="00D714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With certain exceptions, benefits identified above are reduced by 2% for each year retirement precedes age 65.</w:t>
      </w:r>
    </w:p>
    <w:p w:rsidR="00D7148E" w:rsidRDefault="00D7148E" w:rsidP="00D714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 IBEW workers hired before 5/1/08 who elect a contribution rate of 4%, early reduction is 2% each year retirement precedes age 65</w:t>
      </w:r>
    </w:p>
    <w:p w:rsidR="00D7148E" w:rsidRDefault="00D7148E" w:rsidP="00D714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 IBEW workers hired before 5/1/08 who elect a contribution rate of 3%, benefit is reduced by a factor that varies with age.</w:t>
      </w:r>
    </w:p>
    <w:p w:rsidR="00D7148E" w:rsidRDefault="00D7148E" w:rsidP="00D714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 IBEW workers hired after 5/1/08, benefit is reduced by a factor that varies by age.</w:t>
      </w:r>
    </w:p>
    <w:p w:rsidR="00D7148E" w:rsidRDefault="00D7148E" w:rsidP="00D7148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 AFSCME Local 1343 workers hired before 1/1/06 that meet Rule of 82 by 12/7/11 but retire thereafter, reduction is 4% per year at ages 55 to 59 for each year under age 65, and the standard 2% per year reduction for ages 60 to 65.</w:t>
      </w:r>
    </w:p>
    <w:p w:rsidR="00D7148E" w:rsidRPr="00D7148E" w:rsidRDefault="00D7148E" w:rsidP="004C77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148E">
        <w:rPr>
          <w:sz w:val="24"/>
          <w:szCs w:val="24"/>
        </w:rPr>
        <w:t>For other AFSCME Local 1343 employees retiring after 12/7/11, full actuarial reduction from ages 55 to 59 and standard 2% per year reduction for ages 60 to 65</w:t>
      </w:r>
    </w:p>
    <w:sectPr w:rsidR="00D7148E" w:rsidRPr="00D7148E" w:rsidSect="00D957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005"/>
    <w:multiLevelType w:val="hybridMultilevel"/>
    <w:tmpl w:val="77A8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25E6"/>
    <w:multiLevelType w:val="hybridMultilevel"/>
    <w:tmpl w:val="3A28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2145F"/>
    <w:multiLevelType w:val="hybridMultilevel"/>
    <w:tmpl w:val="80B4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87563"/>
    <w:multiLevelType w:val="hybridMultilevel"/>
    <w:tmpl w:val="38BC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71DB8"/>
    <w:multiLevelType w:val="hybridMultilevel"/>
    <w:tmpl w:val="C2B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C19B6"/>
    <w:multiLevelType w:val="hybridMultilevel"/>
    <w:tmpl w:val="270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1512B"/>
    <w:multiLevelType w:val="hybridMultilevel"/>
    <w:tmpl w:val="266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61D39"/>
    <w:multiLevelType w:val="hybridMultilevel"/>
    <w:tmpl w:val="9312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05D8"/>
    <w:rsid w:val="000305D8"/>
    <w:rsid w:val="0003381E"/>
    <w:rsid w:val="000418D9"/>
    <w:rsid w:val="000729E9"/>
    <w:rsid w:val="00085588"/>
    <w:rsid w:val="000A094C"/>
    <w:rsid w:val="000B5A18"/>
    <w:rsid w:val="000C3177"/>
    <w:rsid w:val="000D34D1"/>
    <w:rsid w:val="000E752F"/>
    <w:rsid w:val="00101B2B"/>
    <w:rsid w:val="0010767F"/>
    <w:rsid w:val="00127E76"/>
    <w:rsid w:val="00187ECE"/>
    <w:rsid w:val="001A35B8"/>
    <w:rsid w:val="001C646A"/>
    <w:rsid w:val="001D591C"/>
    <w:rsid w:val="002323F0"/>
    <w:rsid w:val="002508D0"/>
    <w:rsid w:val="00253D6F"/>
    <w:rsid w:val="0026775C"/>
    <w:rsid w:val="002812E9"/>
    <w:rsid w:val="00284AED"/>
    <w:rsid w:val="002A645D"/>
    <w:rsid w:val="002D3FB6"/>
    <w:rsid w:val="002D67CF"/>
    <w:rsid w:val="002E071C"/>
    <w:rsid w:val="002F4CDC"/>
    <w:rsid w:val="00305EAC"/>
    <w:rsid w:val="0032371D"/>
    <w:rsid w:val="00343C67"/>
    <w:rsid w:val="0036281D"/>
    <w:rsid w:val="003771E5"/>
    <w:rsid w:val="003B3323"/>
    <w:rsid w:val="003D24D3"/>
    <w:rsid w:val="003E6AFD"/>
    <w:rsid w:val="003F007B"/>
    <w:rsid w:val="00404BE6"/>
    <w:rsid w:val="004201D4"/>
    <w:rsid w:val="00426897"/>
    <w:rsid w:val="00434C13"/>
    <w:rsid w:val="004366B3"/>
    <w:rsid w:val="00450AD5"/>
    <w:rsid w:val="004615D5"/>
    <w:rsid w:val="004641A8"/>
    <w:rsid w:val="00482ED1"/>
    <w:rsid w:val="004A1978"/>
    <w:rsid w:val="004C776F"/>
    <w:rsid w:val="00533144"/>
    <w:rsid w:val="0056311C"/>
    <w:rsid w:val="00563FF2"/>
    <w:rsid w:val="005727DA"/>
    <w:rsid w:val="00611683"/>
    <w:rsid w:val="00656B64"/>
    <w:rsid w:val="006652D5"/>
    <w:rsid w:val="0066770D"/>
    <w:rsid w:val="00670C0B"/>
    <w:rsid w:val="00677522"/>
    <w:rsid w:val="00687CB4"/>
    <w:rsid w:val="006906B9"/>
    <w:rsid w:val="00696E71"/>
    <w:rsid w:val="006A07BA"/>
    <w:rsid w:val="006F1039"/>
    <w:rsid w:val="006F2F73"/>
    <w:rsid w:val="00710857"/>
    <w:rsid w:val="00714CD5"/>
    <w:rsid w:val="00721178"/>
    <w:rsid w:val="007307F4"/>
    <w:rsid w:val="00731F5B"/>
    <w:rsid w:val="007477CC"/>
    <w:rsid w:val="007649AB"/>
    <w:rsid w:val="00770906"/>
    <w:rsid w:val="0078206A"/>
    <w:rsid w:val="007C0F95"/>
    <w:rsid w:val="007D1FFE"/>
    <w:rsid w:val="007E17F8"/>
    <w:rsid w:val="00842E2A"/>
    <w:rsid w:val="008662B6"/>
    <w:rsid w:val="00884CBD"/>
    <w:rsid w:val="00892137"/>
    <w:rsid w:val="008A051D"/>
    <w:rsid w:val="008D65BD"/>
    <w:rsid w:val="00927EFE"/>
    <w:rsid w:val="0093117B"/>
    <w:rsid w:val="00954A44"/>
    <w:rsid w:val="00966BB4"/>
    <w:rsid w:val="009969A9"/>
    <w:rsid w:val="009C716A"/>
    <w:rsid w:val="009D5D95"/>
    <w:rsid w:val="009E731F"/>
    <w:rsid w:val="00A00464"/>
    <w:rsid w:val="00A3471A"/>
    <w:rsid w:val="00A36F24"/>
    <w:rsid w:val="00A42181"/>
    <w:rsid w:val="00A632B7"/>
    <w:rsid w:val="00A70ED1"/>
    <w:rsid w:val="00A81204"/>
    <w:rsid w:val="00A9667E"/>
    <w:rsid w:val="00AB3289"/>
    <w:rsid w:val="00AE1CC5"/>
    <w:rsid w:val="00AE5B3B"/>
    <w:rsid w:val="00AF2607"/>
    <w:rsid w:val="00AF7035"/>
    <w:rsid w:val="00B1047B"/>
    <w:rsid w:val="00B70870"/>
    <w:rsid w:val="00B740FB"/>
    <w:rsid w:val="00BB3236"/>
    <w:rsid w:val="00BE474A"/>
    <w:rsid w:val="00C329EC"/>
    <w:rsid w:val="00C3545B"/>
    <w:rsid w:val="00C54EAF"/>
    <w:rsid w:val="00C9301B"/>
    <w:rsid w:val="00C965C0"/>
    <w:rsid w:val="00CD1DB1"/>
    <w:rsid w:val="00CE14B0"/>
    <w:rsid w:val="00CE4EA6"/>
    <w:rsid w:val="00D127C0"/>
    <w:rsid w:val="00D414C1"/>
    <w:rsid w:val="00D7148E"/>
    <w:rsid w:val="00D9578A"/>
    <w:rsid w:val="00D9736B"/>
    <w:rsid w:val="00DD06DF"/>
    <w:rsid w:val="00DE4116"/>
    <w:rsid w:val="00DE6527"/>
    <w:rsid w:val="00DF7BF0"/>
    <w:rsid w:val="00E04B45"/>
    <w:rsid w:val="00E166BC"/>
    <w:rsid w:val="00E33533"/>
    <w:rsid w:val="00E47A3D"/>
    <w:rsid w:val="00E65E21"/>
    <w:rsid w:val="00E715C0"/>
    <w:rsid w:val="00E90A6B"/>
    <w:rsid w:val="00EA7ADC"/>
    <w:rsid w:val="00ED7D87"/>
    <w:rsid w:val="00EF6084"/>
    <w:rsid w:val="00F01AFF"/>
    <w:rsid w:val="00F0402B"/>
    <w:rsid w:val="00F353AE"/>
    <w:rsid w:val="00F35F48"/>
    <w:rsid w:val="00F43E6C"/>
    <w:rsid w:val="00F57D0A"/>
    <w:rsid w:val="00F8384B"/>
    <w:rsid w:val="00F92DCB"/>
    <w:rsid w:val="00FC4C03"/>
    <w:rsid w:val="00FD677B"/>
    <w:rsid w:val="00FD67B2"/>
    <w:rsid w:val="00FE086C"/>
    <w:rsid w:val="00F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D8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05D8"/>
  </w:style>
  <w:style w:type="character" w:styleId="Hyperlink">
    <w:name w:val="Hyperlink"/>
    <w:basedOn w:val="DefaultParagraphFont"/>
    <w:uiPriority w:val="99"/>
    <w:semiHidden/>
    <w:unhideWhenUsed/>
    <w:rsid w:val="002508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8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7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F05BE-C904-436C-9836-C8B51ABF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Daily</cp:lastModifiedBy>
  <cp:revision>31</cp:revision>
  <dcterms:created xsi:type="dcterms:W3CDTF">2014-06-22T23:02:00Z</dcterms:created>
  <dcterms:modified xsi:type="dcterms:W3CDTF">2014-06-27T16:52:00Z</dcterms:modified>
</cp:coreProperties>
</file>