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A76" w:rsidRPr="00015062" w:rsidRDefault="00021A76" w:rsidP="00021A76">
      <w:pPr>
        <w:pStyle w:val="Heading4"/>
        <w:ind w:right="-270"/>
        <w:rPr>
          <w:sz w:val="36"/>
          <w:szCs w:val="36"/>
          <w:u w:color="FF0000"/>
        </w:rPr>
      </w:pPr>
      <w:r w:rsidRPr="00015062">
        <w:rPr>
          <w:noProof/>
          <w:snapToGrid/>
          <w:sz w:val="36"/>
          <w:szCs w:val="36"/>
          <w:u w:color="FF0000"/>
        </w:rPr>
        <w:drawing>
          <wp:anchor distT="0" distB="0" distL="114300" distR="114300" simplePos="0" relativeHeight="251659264" behindDoc="0" locked="0" layoutInCell="1" allowOverlap="1" wp14:anchorId="038B97B9" wp14:editId="1D4851E0">
            <wp:simplePos x="0" y="0"/>
            <wp:positionH relativeFrom="column">
              <wp:posOffset>-354330</wp:posOffset>
            </wp:positionH>
            <wp:positionV relativeFrom="paragraph">
              <wp:posOffset>-330429</wp:posOffset>
            </wp:positionV>
            <wp:extent cx="2376985" cy="142619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Seal B&amp;W.png"/>
                    <pic:cNvPicPr/>
                  </pic:nvPicPr>
                  <pic:blipFill>
                    <a:blip r:embed="rId5">
                      <a:extLst>
                        <a:ext uri="{28A0092B-C50C-407E-A947-70E740481C1C}">
                          <a14:useLocalDpi xmlns:a14="http://schemas.microsoft.com/office/drawing/2010/main" val="0"/>
                        </a:ext>
                      </a:extLst>
                    </a:blip>
                    <a:stretch>
                      <a:fillRect/>
                    </a:stretch>
                  </pic:blipFill>
                  <pic:spPr>
                    <a:xfrm>
                      <a:off x="0" y="0"/>
                      <a:ext cx="2376985" cy="1426191"/>
                    </a:xfrm>
                    <a:prstGeom prst="rect">
                      <a:avLst/>
                    </a:prstGeom>
                  </pic:spPr>
                </pic:pic>
              </a:graphicData>
            </a:graphic>
            <wp14:sizeRelH relativeFrom="margin">
              <wp14:pctWidth>0</wp14:pctWidth>
            </wp14:sizeRelH>
            <wp14:sizeRelV relativeFrom="margin">
              <wp14:pctHeight>0</wp14:pctHeight>
            </wp14:sizeRelV>
          </wp:anchor>
        </w:drawing>
      </w:r>
      <w:r w:rsidRPr="00015062">
        <w:rPr>
          <w:sz w:val="36"/>
          <w:szCs w:val="36"/>
          <w:u w:color="FF0000"/>
        </w:rPr>
        <w:t>CITY OF BURLINGTON</w:t>
      </w:r>
    </w:p>
    <w:p w:rsidR="00021A76" w:rsidRPr="009C08DC" w:rsidRDefault="00021A76" w:rsidP="00021A76">
      <w:pPr>
        <w:spacing w:line="240" w:lineRule="auto"/>
        <w:jc w:val="center"/>
        <w:rPr>
          <w:rFonts w:ascii="Times New Roman" w:hAnsi="Times New Roman" w:cs="Times New Roman"/>
          <w:b/>
          <w:bCs/>
          <w:sz w:val="24"/>
          <w:szCs w:val="24"/>
          <w:u w:val="single" w:color="FF0000"/>
        </w:rPr>
      </w:pPr>
      <w:r w:rsidRPr="009C08DC">
        <w:rPr>
          <w:rFonts w:ascii="Times New Roman" w:hAnsi="Times New Roman" w:cs="Times New Roman"/>
          <w:b/>
          <w:bCs/>
          <w:sz w:val="24"/>
          <w:szCs w:val="24"/>
          <w:u w:color="FF0000"/>
        </w:rPr>
        <w:t>Request for Proposals</w:t>
      </w:r>
    </w:p>
    <w:p w:rsidR="00021A76" w:rsidRPr="009C08DC" w:rsidRDefault="00021A76" w:rsidP="00021A76">
      <w:pPr>
        <w:spacing w:line="240" w:lineRule="auto"/>
        <w:jc w:val="center"/>
        <w:rPr>
          <w:rFonts w:ascii="Times New Roman" w:hAnsi="Times New Roman" w:cs="Times New Roman"/>
          <w:b/>
          <w:bCs/>
          <w:sz w:val="24"/>
          <w:szCs w:val="24"/>
          <w:u w:color="FF0000"/>
        </w:rPr>
      </w:pPr>
      <w:r w:rsidRPr="009C08DC">
        <w:rPr>
          <w:rFonts w:ascii="Times New Roman" w:hAnsi="Times New Roman" w:cs="Times New Roman"/>
          <w:b/>
          <w:bCs/>
          <w:sz w:val="24"/>
          <w:szCs w:val="24"/>
          <w:u w:color="FF0000"/>
        </w:rPr>
        <w:t>City of Burlington, Vermont</w:t>
      </w:r>
    </w:p>
    <w:p w:rsidR="00021A76" w:rsidRPr="009C08DC" w:rsidRDefault="00021A76" w:rsidP="00021A76">
      <w:pPr>
        <w:spacing w:after="0" w:line="240" w:lineRule="auto"/>
        <w:jc w:val="center"/>
        <w:rPr>
          <w:rFonts w:ascii="Times New Roman" w:hAnsi="Times New Roman" w:cs="Times New Roman"/>
          <w:b/>
          <w:bCs/>
          <w:sz w:val="24"/>
          <w:szCs w:val="24"/>
          <w:u w:color="FF0000"/>
        </w:rPr>
      </w:pPr>
      <w:r w:rsidRPr="009C08DC">
        <w:rPr>
          <w:rFonts w:ascii="Times New Roman" w:hAnsi="Times New Roman" w:cs="Times New Roman"/>
          <w:b/>
          <w:bCs/>
          <w:sz w:val="24"/>
          <w:szCs w:val="24"/>
          <w:u w:color="FF0000"/>
        </w:rPr>
        <w:t xml:space="preserve">Issued: </w:t>
      </w:r>
      <w:r>
        <w:rPr>
          <w:rFonts w:ascii="Times New Roman" w:hAnsi="Times New Roman" w:cs="Times New Roman"/>
          <w:b/>
          <w:bCs/>
          <w:sz w:val="24"/>
          <w:szCs w:val="24"/>
          <w:u w:color="FF0000"/>
        </w:rPr>
        <w:t>January 1</w:t>
      </w:r>
      <w:r w:rsidRPr="00872CBB">
        <w:rPr>
          <w:rFonts w:ascii="Times New Roman" w:hAnsi="Times New Roman" w:cs="Times New Roman"/>
          <w:b/>
          <w:bCs/>
          <w:sz w:val="24"/>
          <w:szCs w:val="24"/>
          <w:u w:color="FF0000"/>
          <w:vertAlign w:val="superscript"/>
        </w:rPr>
        <w:t>st</w:t>
      </w:r>
      <w:r>
        <w:rPr>
          <w:rFonts w:ascii="Times New Roman" w:hAnsi="Times New Roman" w:cs="Times New Roman"/>
          <w:b/>
          <w:bCs/>
          <w:sz w:val="24"/>
          <w:szCs w:val="24"/>
          <w:u w:color="FF0000"/>
        </w:rPr>
        <w:t>, 2020</w:t>
      </w:r>
    </w:p>
    <w:p w:rsidR="00021A76" w:rsidRDefault="00021A76" w:rsidP="00021A76">
      <w:pPr>
        <w:spacing w:after="0" w:line="240" w:lineRule="auto"/>
        <w:jc w:val="center"/>
        <w:rPr>
          <w:rFonts w:ascii="Times New Roman" w:hAnsi="Times New Roman" w:cs="Times New Roman"/>
          <w:b/>
          <w:bCs/>
          <w:sz w:val="24"/>
          <w:szCs w:val="24"/>
          <w:u w:color="FF0000"/>
        </w:rPr>
      </w:pPr>
      <w:r w:rsidRPr="009C08DC">
        <w:rPr>
          <w:rFonts w:ascii="Times New Roman" w:hAnsi="Times New Roman" w:cs="Times New Roman"/>
          <w:b/>
          <w:bCs/>
          <w:sz w:val="24"/>
          <w:szCs w:val="24"/>
          <w:u w:color="FF0000"/>
        </w:rPr>
        <w:t xml:space="preserve">Due: </w:t>
      </w:r>
      <w:r>
        <w:rPr>
          <w:rFonts w:ascii="Times New Roman" w:hAnsi="Times New Roman" w:cs="Times New Roman"/>
          <w:b/>
          <w:bCs/>
          <w:sz w:val="24"/>
          <w:szCs w:val="24"/>
          <w:u w:color="FF0000"/>
        </w:rPr>
        <w:t>January 31</w:t>
      </w:r>
      <w:r w:rsidRPr="00872CBB">
        <w:rPr>
          <w:rFonts w:ascii="Times New Roman" w:hAnsi="Times New Roman" w:cs="Times New Roman"/>
          <w:b/>
          <w:bCs/>
          <w:sz w:val="24"/>
          <w:szCs w:val="24"/>
          <w:u w:color="FF0000"/>
          <w:vertAlign w:val="superscript"/>
        </w:rPr>
        <w:t>st</w:t>
      </w:r>
      <w:r>
        <w:rPr>
          <w:rFonts w:ascii="Times New Roman" w:hAnsi="Times New Roman" w:cs="Times New Roman"/>
          <w:b/>
          <w:bCs/>
          <w:sz w:val="24"/>
          <w:szCs w:val="24"/>
          <w:u w:color="FF0000"/>
        </w:rPr>
        <w:t>, 2020</w:t>
      </w:r>
    </w:p>
    <w:p w:rsidR="00021A76" w:rsidRDefault="00021A76" w:rsidP="00021A76">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rPr>
      </w:pPr>
    </w:p>
    <w:p w:rsidR="00021A76" w:rsidRDefault="00021A76" w:rsidP="00021A76">
      <w:pPr>
        <w:pStyle w:val="DefaultText"/>
        <w:tabs>
          <w:tab w:val="left" w:pos="576"/>
          <w:tab w:val="left" w:pos="1296"/>
          <w:tab w:val="left" w:pos="7488"/>
          <w:tab w:val="left" w:pos="7920"/>
        </w:tabs>
        <w:rPr>
          <w:szCs w:val="24"/>
        </w:rPr>
      </w:pPr>
      <w:r w:rsidRPr="00DD2426">
        <w:rPr>
          <w:szCs w:val="24"/>
        </w:rPr>
        <w:t xml:space="preserve">The City of Burlington, Vermont (population </w:t>
      </w:r>
      <w:r w:rsidRPr="00B509DD">
        <w:rPr>
          <w:szCs w:val="24"/>
        </w:rPr>
        <w:t>42,650</w:t>
      </w:r>
      <w:r w:rsidRPr="00DD2426">
        <w:rPr>
          <w:szCs w:val="24"/>
        </w:rPr>
        <w:t>)</w:t>
      </w:r>
      <w:r>
        <w:rPr>
          <w:szCs w:val="24"/>
        </w:rPr>
        <w:t>,</w:t>
      </w:r>
      <w:r w:rsidRPr="00DD2426">
        <w:rPr>
          <w:szCs w:val="24"/>
        </w:rPr>
        <w:t xml:space="preserve"> invites qualified insurance carriers</w:t>
      </w:r>
      <w:r>
        <w:rPr>
          <w:szCs w:val="24"/>
        </w:rPr>
        <w:t>,</w:t>
      </w:r>
      <w:r w:rsidRPr="00DD2426">
        <w:rPr>
          <w:szCs w:val="24"/>
        </w:rPr>
        <w:t xml:space="preserve"> third-party </w:t>
      </w:r>
      <w:r>
        <w:rPr>
          <w:szCs w:val="24"/>
        </w:rPr>
        <w:t xml:space="preserve">administrators, and ancillary benefit services (MBM and PBM) </w:t>
      </w:r>
      <w:r w:rsidRPr="00DD2426">
        <w:rPr>
          <w:szCs w:val="24"/>
        </w:rPr>
        <w:t>to submit proposals for the City of Burlington's employee group health insurance plan</w:t>
      </w:r>
      <w:r>
        <w:rPr>
          <w:szCs w:val="24"/>
        </w:rPr>
        <w:t xml:space="preserve"> and other ancillary benefits</w:t>
      </w:r>
      <w:r w:rsidRPr="00DD2426">
        <w:rPr>
          <w:szCs w:val="24"/>
        </w:rPr>
        <w:t xml:space="preserve"> that </w:t>
      </w:r>
      <w:r>
        <w:rPr>
          <w:szCs w:val="24"/>
        </w:rPr>
        <w:t>have a renewal date of</w:t>
      </w:r>
      <w:r w:rsidRPr="00DD2426">
        <w:rPr>
          <w:szCs w:val="24"/>
        </w:rPr>
        <w:t xml:space="preserve"> </w:t>
      </w:r>
      <w:r w:rsidRPr="00DD2426">
        <w:rPr>
          <w:b/>
          <w:bCs/>
          <w:szCs w:val="24"/>
          <w:u w:val="single"/>
        </w:rPr>
        <w:t>July 1, 2020</w:t>
      </w:r>
      <w:r w:rsidRPr="00DD2426">
        <w:rPr>
          <w:szCs w:val="24"/>
        </w:rPr>
        <w:t xml:space="preserve">.  </w:t>
      </w:r>
    </w:p>
    <w:p w:rsidR="00021A76" w:rsidRDefault="00021A76" w:rsidP="00021A76">
      <w:pPr>
        <w:pStyle w:val="DefaultText"/>
        <w:tabs>
          <w:tab w:val="left" w:pos="576"/>
          <w:tab w:val="left" w:pos="1296"/>
          <w:tab w:val="left" w:pos="7488"/>
          <w:tab w:val="left" w:pos="7920"/>
        </w:tabs>
        <w:rPr>
          <w:szCs w:val="24"/>
        </w:rPr>
      </w:pPr>
    </w:p>
    <w:p w:rsidR="00021A76" w:rsidRDefault="00021A76" w:rsidP="00021A76">
      <w:pPr>
        <w:widowControl w:val="0"/>
        <w:autoSpaceDE w:val="0"/>
        <w:autoSpaceDN w:val="0"/>
        <w:adjustRightInd w:val="0"/>
        <w:spacing w:after="0" w:line="240" w:lineRule="auto"/>
        <w:rPr>
          <w:rFonts w:ascii="Times New Roman" w:eastAsia="Times New Roman" w:hAnsi="Times New Roman" w:cs="Times New Roman"/>
          <w:snapToGrid w:val="0"/>
          <w:sz w:val="24"/>
          <w:szCs w:val="24"/>
        </w:rPr>
      </w:pPr>
      <w:r w:rsidRPr="00B509DD">
        <w:rPr>
          <w:rFonts w:ascii="Times New Roman" w:eastAsia="Times New Roman" w:hAnsi="Times New Roman" w:cs="Times New Roman"/>
          <w:snapToGrid w:val="0"/>
          <w:sz w:val="24"/>
          <w:szCs w:val="24"/>
        </w:rPr>
        <w:t xml:space="preserve">The City of Burlington </w:t>
      </w:r>
      <w:r w:rsidRPr="00087AFB">
        <w:rPr>
          <w:rFonts w:ascii="Times New Roman" w:eastAsia="Times New Roman" w:hAnsi="Times New Roman" w:cs="Times New Roman"/>
          <w:snapToGrid w:val="0"/>
          <w:sz w:val="24"/>
          <w:szCs w:val="24"/>
        </w:rPr>
        <w:t xml:space="preserve">has </w:t>
      </w:r>
      <w:r>
        <w:rPr>
          <w:rFonts w:ascii="Times New Roman" w:eastAsia="Times New Roman" w:hAnsi="Times New Roman" w:cs="Times New Roman"/>
          <w:snapToGrid w:val="0"/>
          <w:sz w:val="24"/>
          <w:szCs w:val="24"/>
        </w:rPr>
        <w:t>four unions that have approved the current benefits structure. Your proposal must allow for the complete current in-force benefits structure</w:t>
      </w:r>
      <w:r w:rsidRPr="00B509DD">
        <w:rPr>
          <w:rFonts w:ascii="Times New Roman" w:eastAsia="Times New Roman" w:hAnsi="Times New Roman" w:cs="Times New Roman"/>
          <w:snapToGrid w:val="0"/>
          <w:color w:val="FF0000"/>
          <w:sz w:val="24"/>
          <w:szCs w:val="24"/>
        </w:rPr>
        <w:t xml:space="preserve"> </w:t>
      </w:r>
      <w:r w:rsidRPr="00752800">
        <w:rPr>
          <w:rFonts w:ascii="Times New Roman" w:eastAsia="Times New Roman" w:hAnsi="Times New Roman" w:cs="Times New Roman"/>
          <w:snapToGrid w:val="0"/>
          <w:sz w:val="24"/>
          <w:szCs w:val="24"/>
        </w:rPr>
        <w:t>in order to be considered. Your proposal must incorporate this statement, “Our proposal duplicate</w:t>
      </w:r>
      <w:r>
        <w:rPr>
          <w:rFonts w:ascii="Times New Roman" w:eastAsia="Times New Roman" w:hAnsi="Times New Roman" w:cs="Times New Roman"/>
          <w:snapToGrid w:val="0"/>
          <w:sz w:val="24"/>
          <w:szCs w:val="24"/>
        </w:rPr>
        <w:t>s the in-force benefits exactly, as agreed upon by the City’s unions.”</w:t>
      </w:r>
    </w:p>
    <w:p w:rsidR="00021A76" w:rsidRDefault="00021A76" w:rsidP="00021A76">
      <w:pPr>
        <w:pStyle w:val="DefaultText"/>
        <w:tabs>
          <w:tab w:val="left" w:pos="576"/>
          <w:tab w:val="left" w:pos="1296"/>
          <w:tab w:val="left" w:pos="7488"/>
          <w:tab w:val="left" w:pos="7920"/>
        </w:tabs>
        <w:rPr>
          <w:szCs w:val="24"/>
        </w:rPr>
      </w:pPr>
    </w:p>
    <w:p w:rsidR="00021A76" w:rsidRPr="00DD2426" w:rsidRDefault="00021A76" w:rsidP="00021A76">
      <w:pPr>
        <w:pStyle w:val="DefaultText"/>
        <w:tabs>
          <w:tab w:val="left" w:pos="576"/>
          <w:tab w:val="left" w:pos="1296"/>
          <w:tab w:val="left" w:pos="7488"/>
          <w:tab w:val="left" w:pos="7920"/>
        </w:tabs>
        <w:rPr>
          <w:szCs w:val="24"/>
        </w:rPr>
      </w:pPr>
      <w:r w:rsidRPr="00DD2426">
        <w:rPr>
          <w:szCs w:val="24"/>
        </w:rPr>
        <w:t xml:space="preserve">The City desires to make a selection no later than </w:t>
      </w:r>
      <w:r w:rsidRPr="00DD2426">
        <w:rPr>
          <w:b/>
          <w:bCs/>
          <w:szCs w:val="24"/>
          <w:u w:val="single"/>
        </w:rPr>
        <w:t>March 1</w:t>
      </w:r>
      <w:r>
        <w:rPr>
          <w:b/>
          <w:bCs/>
          <w:szCs w:val="24"/>
          <w:u w:val="single"/>
        </w:rPr>
        <w:t>5</w:t>
      </w:r>
      <w:r w:rsidRPr="00DD2426">
        <w:rPr>
          <w:b/>
          <w:bCs/>
          <w:szCs w:val="24"/>
          <w:u w:val="single"/>
        </w:rPr>
        <w:t>, 2020</w:t>
      </w:r>
      <w:r w:rsidRPr="00DD2426">
        <w:rPr>
          <w:szCs w:val="24"/>
        </w:rPr>
        <w:t>.  Depending upon the proposal</w:t>
      </w:r>
      <w:r>
        <w:rPr>
          <w:szCs w:val="24"/>
        </w:rPr>
        <w:t>(s)</w:t>
      </w:r>
      <w:r w:rsidRPr="00DD2426">
        <w:rPr>
          <w:szCs w:val="24"/>
        </w:rPr>
        <w:t xml:space="preserve"> selected and any necessary transition, the City understands that the above referenced timeframe may need to be adjusted by mutual consent. Important proposal parameters are contained in section XI “General Information for </w:t>
      </w:r>
      <w:r>
        <w:rPr>
          <w:szCs w:val="24"/>
        </w:rPr>
        <w:t>Presenters</w:t>
      </w:r>
      <w:r w:rsidRPr="00DD2426">
        <w:rPr>
          <w:szCs w:val="24"/>
        </w:rPr>
        <w:t>” and throughout this request. Please review the request in detail</w:t>
      </w:r>
      <w:r>
        <w:rPr>
          <w:szCs w:val="24"/>
        </w:rPr>
        <w:t xml:space="preserve"> and prepare to </w:t>
      </w:r>
      <w:r w:rsidRPr="00DD2426">
        <w:rPr>
          <w:szCs w:val="24"/>
        </w:rPr>
        <w:t>communicat</w:t>
      </w:r>
      <w:r>
        <w:rPr>
          <w:szCs w:val="24"/>
        </w:rPr>
        <w:t>e</w:t>
      </w:r>
      <w:r w:rsidRPr="00DD2426">
        <w:rPr>
          <w:szCs w:val="24"/>
        </w:rPr>
        <w:t xml:space="preserve"> your questions</w:t>
      </w:r>
      <w:r>
        <w:rPr>
          <w:szCs w:val="24"/>
        </w:rPr>
        <w:t xml:space="preserve"> by the date specified in section XI</w:t>
      </w:r>
      <w:r w:rsidRPr="00DD2426">
        <w:rPr>
          <w:szCs w:val="24"/>
        </w:rPr>
        <w:t>.</w:t>
      </w:r>
    </w:p>
    <w:p w:rsidR="00021A76" w:rsidRDefault="00021A76" w:rsidP="00021A76">
      <w:pPr>
        <w:pStyle w:val="DefaultText"/>
        <w:tabs>
          <w:tab w:val="left" w:pos="576"/>
          <w:tab w:val="left" w:pos="1296"/>
          <w:tab w:val="left" w:pos="7488"/>
          <w:tab w:val="left" w:pos="7920"/>
        </w:tabs>
        <w:rPr>
          <w:szCs w:val="24"/>
        </w:rPr>
      </w:pPr>
    </w:p>
    <w:p w:rsidR="00021A76" w:rsidRPr="00F0303F" w:rsidRDefault="00021A76" w:rsidP="00021A76">
      <w:pPr>
        <w:widowControl w:val="0"/>
        <w:autoSpaceDE w:val="0"/>
        <w:autoSpaceDN w:val="0"/>
        <w:adjustRightInd w:val="0"/>
        <w:spacing w:after="0" w:line="240" w:lineRule="auto"/>
        <w:rPr>
          <w:rFonts w:ascii="Times New Roman" w:eastAsia="Times New Roman" w:hAnsi="Times New Roman" w:cs="Times New Roman"/>
          <w:snapToGrid w:val="0"/>
          <w:sz w:val="24"/>
          <w:szCs w:val="24"/>
        </w:rPr>
      </w:pPr>
      <w:r w:rsidRPr="00752800">
        <w:rPr>
          <w:rFonts w:ascii="Times New Roman" w:eastAsia="Times New Roman" w:hAnsi="Times New Roman" w:cs="Times New Roman"/>
          <w:snapToGrid w:val="0"/>
          <w:sz w:val="24"/>
          <w:szCs w:val="24"/>
        </w:rPr>
        <w:t xml:space="preserve">You are invited to bid on </w:t>
      </w:r>
      <w:r w:rsidRPr="00752800">
        <w:rPr>
          <w:rFonts w:ascii="Times New Roman" w:hAnsi="Times New Roman" w:cs="Times New Roman"/>
          <w:sz w:val="24"/>
          <w:szCs w:val="24"/>
        </w:rPr>
        <w:t>required services or services individually</w:t>
      </w:r>
      <w:r w:rsidRPr="00F0303F">
        <w:rPr>
          <w:rFonts w:ascii="Times New Roman" w:eastAsia="Times New Roman" w:hAnsi="Times New Roman" w:cs="Times New Roman"/>
          <w:snapToGrid w:val="0"/>
          <w:sz w:val="24"/>
          <w:szCs w:val="24"/>
        </w:rPr>
        <w:t xml:space="preserve">.  </w:t>
      </w:r>
    </w:p>
    <w:p w:rsidR="00021A76" w:rsidRDefault="00021A76" w:rsidP="00021A76">
      <w:pPr>
        <w:widowControl w:val="0"/>
        <w:autoSpaceDE w:val="0"/>
        <w:autoSpaceDN w:val="0"/>
        <w:adjustRightInd w:val="0"/>
        <w:spacing w:after="0" w:line="240" w:lineRule="auto"/>
        <w:rPr>
          <w:rFonts w:ascii="Times New Roman" w:eastAsia="Times New Roman" w:hAnsi="Times New Roman" w:cs="Times New Roman"/>
          <w:snapToGrid w:val="0"/>
          <w:sz w:val="24"/>
          <w:szCs w:val="24"/>
        </w:rPr>
      </w:pPr>
    </w:p>
    <w:p w:rsidR="00021A76" w:rsidRPr="00752800" w:rsidRDefault="00021A76" w:rsidP="00021A76">
      <w:pPr>
        <w:widowControl w:val="0"/>
        <w:autoSpaceDE w:val="0"/>
        <w:autoSpaceDN w:val="0"/>
        <w:adjustRightInd w:val="0"/>
        <w:spacing w:after="0" w:line="240" w:lineRule="auto"/>
        <w:ind w:left="720"/>
        <w:rPr>
          <w:rFonts w:ascii="Times New Roman" w:eastAsia="Times New Roman" w:hAnsi="Times New Roman" w:cs="Times New Roman"/>
          <w:b/>
          <w:bCs/>
          <w:snapToGrid w:val="0"/>
          <w:sz w:val="24"/>
          <w:szCs w:val="24"/>
        </w:rPr>
      </w:pPr>
      <w:r w:rsidRPr="00752800">
        <w:rPr>
          <w:rFonts w:ascii="Times New Roman" w:eastAsia="Times New Roman" w:hAnsi="Times New Roman" w:cs="Times New Roman"/>
          <w:b/>
          <w:bCs/>
          <w:snapToGrid w:val="0"/>
          <w:sz w:val="24"/>
          <w:szCs w:val="24"/>
        </w:rPr>
        <w:t>Ancillary Benefit Services</w:t>
      </w:r>
    </w:p>
    <w:p w:rsidR="00021A76" w:rsidRDefault="00021A76" w:rsidP="00021A76">
      <w:pPr>
        <w:pStyle w:val="ListParagraph"/>
        <w:widowControl w:val="0"/>
        <w:numPr>
          <w:ilvl w:val="3"/>
          <w:numId w:val="1"/>
        </w:numPr>
        <w:autoSpaceDE w:val="0"/>
        <w:autoSpaceDN w:val="0"/>
        <w:adjustRightInd w:val="0"/>
        <w:spacing w:after="0" w:line="240" w:lineRule="auto"/>
        <w:ind w:left="135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Medical Benefits Manager (MBM) (not TPA)</w:t>
      </w:r>
    </w:p>
    <w:p w:rsidR="00021A76" w:rsidRDefault="00021A76" w:rsidP="00021A76">
      <w:pPr>
        <w:pStyle w:val="ListParagraph"/>
        <w:widowControl w:val="0"/>
        <w:numPr>
          <w:ilvl w:val="3"/>
          <w:numId w:val="1"/>
        </w:numPr>
        <w:autoSpaceDE w:val="0"/>
        <w:autoSpaceDN w:val="0"/>
        <w:adjustRightInd w:val="0"/>
        <w:spacing w:after="0" w:line="240" w:lineRule="auto"/>
        <w:ind w:left="135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Pharmacy Benefits Manager (PBM)</w:t>
      </w:r>
    </w:p>
    <w:p w:rsidR="00021A76" w:rsidRDefault="00021A76" w:rsidP="00021A76">
      <w:pPr>
        <w:pStyle w:val="ListParagraph"/>
        <w:widowControl w:val="0"/>
        <w:numPr>
          <w:ilvl w:val="4"/>
          <w:numId w:val="1"/>
        </w:numPr>
        <w:autoSpaceDE w:val="0"/>
        <w:autoSpaceDN w:val="0"/>
        <w:adjustRightInd w:val="0"/>
        <w:spacing w:after="0" w:line="240" w:lineRule="auto"/>
        <w:ind w:left="198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Rebates</w:t>
      </w:r>
    </w:p>
    <w:p w:rsidR="00021A76" w:rsidRPr="00F0303F" w:rsidRDefault="00021A76" w:rsidP="00021A76">
      <w:pPr>
        <w:pStyle w:val="ListParagraph"/>
        <w:widowControl w:val="0"/>
        <w:numPr>
          <w:ilvl w:val="4"/>
          <w:numId w:val="1"/>
        </w:numPr>
        <w:autoSpaceDE w:val="0"/>
        <w:autoSpaceDN w:val="0"/>
        <w:adjustRightInd w:val="0"/>
        <w:spacing w:after="0" w:line="240" w:lineRule="auto"/>
        <w:ind w:left="1980"/>
        <w:rPr>
          <w:rFonts w:ascii="Times New Roman" w:eastAsia="Times New Roman" w:hAnsi="Times New Roman" w:cs="Times New Roman"/>
          <w:snapToGrid w:val="0"/>
          <w:sz w:val="24"/>
          <w:szCs w:val="24"/>
        </w:rPr>
      </w:pPr>
      <w:r w:rsidRPr="00F0303F">
        <w:rPr>
          <w:rFonts w:ascii="Times New Roman" w:eastAsia="Times New Roman" w:hAnsi="Times New Roman" w:cs="Times New Roman"/>
          <w:snapToGrid w:val="0"/>
          <w:sz w:val="24"/>
          <w:szCs w:val="24"/>
        </w:rPr>
        <w:t>Manage specialty drugs for better outcomes</w:t>
      </w:r>
      <w:r>
        <w:rPr>
          <w:rFonts w:ascii="Times New Roman" w:eastAsia="Times New Roman" w:hAnsi="Times New Roman" w:cs="Times New Roman"/>
          <w:snapToGrid w:val="0"/>
          <w:sz w:val="24"/>
          <w:szCs w:val="24"/>
        </w:rPr>
        <w:t xml:space="preserve">, IE </w:t>
      </w:r>
      <w:r w:rsidRPr="00F0303F">
        <w:rPr>
          <w:rFonts w:ascii="Times New Roman" w:eastAsia="Times New Roman" w:hAnsi="Times New Roman" w:cs="Times New Roman"/>
          <w:snapToGrid w:val="0"/>
          <w:sz w:val="24"/>
          <w:szCs w:val="24"/>
        </w:rPr>
        <w:t>J Code blocking</w:t>
      </w:r>
    </w:p>
    <w:p w:rsidR="00021A76" w:rsidRDefault="00021A76" w:rsidP="00021A76">
      <w:pPr>
        <w:pStyle w:val="ListParagraph"/>
        <w:ind w:left="-90"/>
        <w:rPr>
          <w:rFonts w:ascii="Times New Roman" w:eastAsia="Times New Roman" w:hAnsi="Times New Roman" w:cs="Times New Roman"/>
          <w:snapToGrid w:val="0"/>
          <w:sz w:val="24"/>
          <w:szCs w:val="24"/>
        </w:rPr>
      </w:pPr>
    </w:p>
    <w:p w:rsidR="00021A76" w:rsidRPr="00752800" w:rsidRDefault="00021A76" w:rsidP="00021A76">
      <w:pPr>
        <w:pStyle w:val="ListParagraph"/>
        <w:rPr>
          <w:rFonts w:ascii="Times New Roman" w:eastAsia="Times New Roman" w:hAnsi="Times New Roman" w:cs="Times New Roman"/>
          <w:b/>
          <w:bCs/>
          <w:snapToGrid w:val="0"/>
          <w:sz w:val="24"/>
          <w:szCs w:val="24"/>
        </w:rPr>
      </w:pPr>
      <w:r w:rsidRPr="00752800">
        <w:rPr>
          <w:rFonts w:ascii="Times New Roman" w:eastAsia="Times New Roman" w:hAnsi="Times New Roman" w:cs="Times New Roman"/>
          <w:b/>
          <w:bCs/>
          <w:snapToGrid w:val="0"/>
          <w:sz w:val="24"/>
          <w:szCs w:val="24"/>
        </w:rPr>
        <w:t>Third Party Administrator (TPA)</w:t>
      </w:r>
      <w:r>
        <w:rPr>
          <w:rFonts w:ascii="Times New Roman" w:eastAsia="Times New Roman" w:hAnsi="Times New Roman" w:cs="Times New Roman"/>
          <w:b/>
          <w:bCs/>
          <w:snapToGrid w:val="0"/>
          <w:sz w:val="24"/>
          <w:szCs w:val="24"/>
        </w:rPr>
        <w:t xml:space="preserve"> Services</w:t>
      </w:r>
    </w:p>
    <w:p w:rsidR="00021A76" w:rsidRDefault="00021A76" w:rsidP="00021A76">
      <w:pPr>
        <w:pStyle w:val="ListParagraph"/>
        <w:numPr>
          <w:ilvl w:val="0"/>
          <w:numId w:val="2"/>
        </w:numPr>
        <w:ind w:left="135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Stand-alone claim processing </w:t>
      </w:r>
    </w:p>
    <w:p w:rsidR="00021A76" w:rsidRDefault="00021A76" w:rsidP="00021A76">
      <w:pPr>
        <w:pStyle w:val="ListParagraph"/>
        <w:numPr>
          <w:ilvl w:val="0"/>
          <w:numId w:val="2"/>
        </w:numPr>
        <w:ind w:left="135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Bundled or un-bundled stop-loss</w:t>
      </w:r>
    </w:p>
    <w:p w:rsidR="00021A76" w:rsidRDefault="00021A76" w:rsidP="00021A76">
      <w:pPr>
        <w:pStyle w:val="ListParagraph"/>
        <w:numPr>
          <w:ilvl w:val="0"/>
          <w:numId w:val="2"/>
        </w:numPr>
        <w:ind w:left="135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Network access</w:t>
      </w:r>
    </w:p>
    <w:p w:rsidR="00021A76" w:rsidRDefault="00021A76" w:rsidP="00021A76">
      <w:pPr>
        <w:pStyle w:val="ListParagraph"/>
        <w:numPr>
          <w:ilvl w:val="0"/>
          <w:numId w:val="2"/>
        </w:numPr>
        <w:ind w:left="135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Coordinated MBM and PBM relationships</w:t>
      </w:r>
    </w:p>
    <w:p w:rsidR="00021A76" w:rsidRDefault="00021A76" w:rsidP="00021A76">
      <w:pPr>
        <w:pStyle w:val="ListParagraph"/>
        <w:numPr>
          <w:ilvl w:val="0"/>
          <w:numId w:val="2"/>
        </w:numPr>
        <w:ind w:left="135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Streamlined arbitration</w:t>
      </w:r>
    </w:p>
    <w:p w:rsidR="00021A76" w:rsidRPr="00752800" w:rsidRDefault="00021A76" w:rsidP="00021A76">
      <w:pPr>
        <w:spacing w:after="0"/>
        <w:ind w:left="720"/>
        <w:rPr>
          <w:rFonts w:ascii="Times New Roman" w:eastAsia="Times New Roman" w:hAnsi="Times New Roman" w:cs="Times New Roman"/>
          <w:b/>
          <w:bCs/>
          <w:snapToGrid w:val="0"/>
          <w:sz w:val="24"/>
          <w:szCs w:val="24"/>
        </w:rPr>
      </w:pPr>
      <w:r w:rsidRPr="00752800">
        <w:rPr>
          <w:rFonts w:ascii="Times New Roman" w:eastAsia="Times New Roman" w:hAnsi="Times New Roman" w:cs="Times New Roman"/>
          <w:b/>
          <w:bCs/>
          <w:snapToGrid w:val="0"/>
          <w:sz w:val="24"/>
          <w:szCs w:val="24"/>
        </w:rPr>
        <w:t>Fully Insured</w:t>
      </w:r>
    </w:p>
    <w:p w:rsidR="00021A76" w:rsidRDefault="00021A76" w:rsidP="00021A76">
      <w:pPr>
        <w:pStyle w:val="ListParagraph"/>
        <w:numPr>
          <w:ilvl w:val="0"/>
          <w:numId w:val="3"/>
        </w:numP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Coordinated MBM and PBM relationships</w:t>
      </w:r>
    </w:p>
    <w:p w:rsidR="00021A76" w:rsidRDefault="00021A76" w:rsidP="00021A76">
      <w:pPr>
        <w:pStyle w:val="ListParagraph"/>
        <w:numPr>
          <w:ilvl w:val="0"/>
          <w:numId w:val="3"/>
        </w:numP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Local network access</w:t>
      </w:r>
    </w:p>
    <w:p w:rsidR="00021A76" w:rsidRPr="00752800" w:rsidRDefault="00021A76" w:rsidP="00021A76">
      <w:pPr>
        <w:widowControl w:val="0"/>
        <w:autoSpaceDE w:val="0"/>
        <w:autoSpaceDN w:val="0"/>
        <w:adjustRightInd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Details and proposal parameters can be found in section XI</w:t>
      </w:r>
      <w:r w:rsidRPr="00BE72B2">
        <w:rPr>
          <w:rFonts w:ascii="Times New Roman" w:eastAsia="Times New Roman" w:hAnsi="Times New Roman" w:cs="Times New Roman"/>
          <w:snapToGrid w:val="0"/>
          <w:sz w:val="24"/>
          <w:szCs w:val="24"/>
        </w:rPr>
        <w:t xml:space="preserve"> </w:t>
      </w:r>
      <w:r w:rsidRPr="00752800">
        <w:rPr>
          <w:rFonts w:ascii="Times New Roman" w:eastAsia="Times New Roman" w:hAnsi="Times New Roman" w:cs="Times New Roman"/>
          <w:snapToGrid w:val="0"/>
          <w:sz w:val="24"/>
          <w:szCs w:val="24"/>
        </w:rPr>
        <w:t xml:space="preserve">General Information </w:t>
      </w:r>
      <w:r>
        <w:rPr>
          <w:rFonts w:ascii="Times New Roman" w:eastAsia="Times New Roman" w:hAnsi="Times New Roman" w:cs="Times New Roman"/>
          <w:snapToGrid w:val="0"/>
          <w:sz w:val="24"/>
          <w:szCs w:val="24"/>
        </w:rPr>
        <w:t>f</w:t>
      </w:r>
      <w:r w:rsidRPr="00752800">
        <w:rPr>
          <w:rFonts w:ascii="Times New Roman" w:eastAsia="Times New Roman" w:hAnsi="Times New Roman" w:cs="Times New Roman"/>
          <w:snapToGrid w:val="0"/>
          <w:sz w:val="24"/>
          <w:szCs w:val="24"/>
        </w:rPr>
        <w:t>or Presenters</w:t>
      </w:r>
      <w:r>
        <w:rPr>
          <w:rFonts w:ascii="Times New Roman" w:eastAsia="Times New Roman" w:hAnsi="Times New Roman" w:cs="Times New Roman"/>
          <w:snapToGrid w:val="0"/>
          <w:sz w:val="24"/>
          <w:szCs w:val="24"/>
        </w:rPr>
        <w:t>. Presenter-RFP Manager communications will be governed by the rule stated in section XI #6.</w:t>
      </w:r>
    </w:p>
    <w:p w:rsidR="00C567D9" w:rsidRDefault="00C567D9">
      <w:bookmarkStart w:id="0" w:name="_GoBack"/>
      <w:bookmarkEnd w:id="0"/>
    </w:p>
    <w:sectPr w:rsidR="00C567D9" w:rsidSect="004D1EC7">
      <w:footerReference w:type="default" r:id="rId6"/>
      <w:pgSz w:w="12240" w:h="15840"/>
      <w:pgMar w:top="720" w:right="1267" w:bottom="547" w:left="1440" w:header="720" w:footer="3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861768"/>
      <w:docPartObj>
        <w:docPartGallery w:val="Page Numbers (Bottom of Page)"/>
        <w:docPartUnique/>
      </w:docPartObj>
    </w:sdtPr>
    <w:sdtEndPr>
      <w:rPr>
        <w:noProof/>
      </w:rPr>
    </w:sdtEndPr>
    <w:sdtContent>
      <w:p w:rsidR="00A229F8" w:rsidRDefault="00021A76" w:rsidP="00A229F8">
        <w:pPr>
          <w:pStyle w:val="Footer"/>
        </w:pPr>
        <w:r>
          <w:rPr>
            <w:sz w:val="18"/>
          </w:rPr>
          <w:fldChar w:fldCharType="begin"/>
        </w:r>
        <w:r>
          <w:rPr>
            <w:sz w:val="18"/>
          </w:rPr>
          <w:instrText xml:space="preserve"> DATE \@ "MMMM d, yyyy" </w:instrText>
        </w:r>
        <w:r>
          <w:rPr>
            <w:sz w:val="18"/>
          </w:rPr>
          <w:fldChar w:fldCharType="separate"/>
        </w:r>
        <w:r>
          <w:rPr>
            <w:noProof/>
            <w:sz w:val="18"/>
          </w:rPr>
          <w:t>December 19, 2019</w:t>
        </w:r>
        <w:r>
          <w:rPr>
            <w:sz w:val="18"/>
          </w:rPr>
          <w:fldChar w:fldCharType="end"/>
        </w:r>
        <w:r>
          <w:tab/>
        </w:r>
        <w:r>
          <w:tab/>
        </w:r>
        <w:r>
          <w:fldChar w:fldCharType="begin"/>
        </w:r>
        <w:r>
          <w:instrText xml:space="preserve"> PAGE   \* MERGEFORMAT </w:instrText>
        </w:r>
        <w:r>
          <w:fldChar w:fldCharType="separate"/>
        </w:r>
        <w:r>
          <w:rPr>
            <w:noProof/>
          </w:rPr>
          <w:t>1</w:t>
        </w:r>
        <w:r>
          <w:rPr>
            <w:noProof/>
          </w:rPr>
          <w:fldChar w:fldCharType="end"/>
        </w:r>
      </w:p>
    </w:sdtContent>
  </w:sdt>
  <w:p w:rsidR="00A229F8" w:rsidRDefault="00021A76"/>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E5752"/>
    <w:multiLevelType w:val="hybridMultilevel"/>
    <w:tmpl w:val="6EECF6D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3455B"/>
    <w:multiLevelType w:val="hybridMultilevel"/>
    <w:tmpl w:val="01A44C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681D7AB8"/>
    <w:multiLevelType w:val="hybridMultilevel"/>
    <w:tmpl w:val="4C3A9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76"/>
    <w:rsid w:val="00021A76"/>
    <w:rsid w:val="00C5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9491F-FE63-4216-979D-5C0FE519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A76"/>
    <w:pPr>
      <w:spacing w:after="200" w:line="276" w:lineRule="auto"/>
    </w:pPr>
    <w:rPr>
      <w:rFonts w:ascii="Calibri" w:eastAsia="Calibri" w:hAnsi="Calibri" w:cs="Calibri"/>
    </w:rPr>
  </w:style>
  <w:style w:type="paragraph" w:styleId="Heading4">
    <w:name w:val="heading 4"/>
    <w:basedOn w:val="Normal"/>
    <w:next w:val="Normal"/>
    <w:link w:val="Heading4Char"/>
    <w:uiPriority w:val="9"/>
    <w:qFormat/>
    <w:rsid w:val="00021A76"/>
    <w:pPr>
      <w:keepNext/>
      <w:widowControl w:val="0"/>
      <w:spacing w:after="0" w:line="240" w:lineRule="auto"/>
      <w:jc w:val="center"/>
      <w:outlineLvl w:val="3"/>
    </w:pPr>
    <w:rPr>
      <w:rFonts w:ascii="Times New Roman" w:eastAsia="Times New Roman" w:hAnsi="Times New Roman" w:cs="Times New Roman"/>
      <w:b/>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21A76"/>
    <w:rPr>
      <w:rFonts w:ascii="Times New Roman" w:eastAsia="Times New Roman" w:hAnsi="Times New Roman" w:cs="Times New Roman"/>
      <w:b/>
      <w:snapToGrid w:val="0"/>
      <w:sz w:val="32"/>
      <w:szCs w:val="20"/>
    </w:rPr>
  </w:style>
  <w:style w:type="paragraph" w:styleId="ListParagraph">
    <w:name w:val="List Paragraph"/>
    <w:basedOn w:val="Normal"/>
    <w:uiPriority w:val="34"/>
    <w:qFormat/>
    <w:rsid w:val="00021A76"/>
    <w:pPr>
      <w:ind w:left="720"/>
      <w:contextualSpacing/>
    </w:pPr>
  </w:style>
  <w:style w:type="paragraph" w:customStyle="1" w:styleId="DefaultText">
    <w:name w:val="Default Text"/>
    <w:basedOn w:val="Normal"/>
    <w:link w:val="DefaultTextChar"/>
    <w:rsid w:val="00021A76"/>
    <w:pPr>
      <w:spacing w:after="0" w:line="240" w:lineRule="auto"/>
    </w:pPr>
    <w:rPr>
      <w:rFonts w:ascii="Times New Roman" w:eastAsia="Times New Roman" w:hAnsi="Times New Roman" w:cs="Times New Roman"/>
      <w:sz w:val="24"/>
      <w:szCs w:val="20"/>
    </w:rPr>
  </w:style>
  <w:style w:type="character" w:customStyle="1" w:styleId="DefaultTextChar">
    <w:name w:val="Default Text Char"/>
    <w:link w:val="DefaultText"/>
    <w:rsid w:val="00021A7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21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A7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Rusten</dc:creator>
  <cp:keywords/>
  <dc:description/>
  <cp:lastModifiedBy>Bob Rusten</cp:lastModifiedBy>
  <cp:revision>1</cp:revision>
  <dcterms:created xsi:type="dcterms:W3CDTF">2019-12-19T12:50:00Z</dcterms:created>
  <dcterms:modified xsi:type="dcterms:W3CDTF">2019-12-19T12:50:00Z</dcterms:modified>
</cp:coreProperties>
</file>