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D8" w:rsidRPr="00187ECE" w:rsidRDefault="00053891" w:rsidP="00187ECE">
      <w:pPr>
        <w:jc w:val="center"/>
        <w:rPr>
          <w:b/>
          <w:sz w:val="24"/>
        </w:rPr>
      </w:pPr>
      <w:r>
        <w:rPr>
          <w:b/>
          <w:sz w:val="24"/>
        </w:rPr>
        <w:t>Discussion of Retirement Plan Models</w:t>
      </w:r>
    </w:p>
    <w:p w:rsidR="00187ECE" w:rsidRDefault="00187ECE" w:rsidP="00187ECE">
      <w:pPr>
        <w:jc w:val="center"/>
        <w:rPr>
          <w:b/>
          <w:sz w:val="24"/>
        </w:rPr>
      </w:pPr>
      <w:r w:rsidRPr="00187ECE">
        <w:rPr>
          <w:b/>
          <w:sz w:val="24"/>
        </w:rPr>
        <w:t>City of Burlington Retirement Committee</w:t>
      </w:r>
    </w:p>
    <w:p w:rsidR="003F007B" w:rsidRDefault="003F007B" w:rsidP="00187ECE">
      <w:pPr>
        <w:jc w:val="center"/>
        <w:rPr>
          <w:b/>
          <w:sz w:val="24"/>
        </w:rPr>
      </w:pPr>
      <w:r>
        <w:rPr>
          <w:b/>
          <w:sz w:val="24"/>
        </w:rPr>
        <w:t xml:space="preserve">Prepared by Keith </w:t>
      </w:r>
      <w:proofErr w:type="spellStart"/>
      <w:r>
        <w:rPr>
          <w:b/>
          <w:sz w:val="24"/>
        </w:rPr>
        <w:t>Brainard</w:t>
      </w:r>
      <w:proofErr w:type="spellEnd"/>
    </w:p>
    <w:p w:rsidR="009562F6" w:rsidRPr="00187ECE" w:rsidRDefault="009562F6" w:rsidP="00187ECE">
      <w:pPr>
        <w:jc w:val="center"/>
        <w:rPr>
          <w:b/>
          <w:sz w:val="24"/>
        </w:rPr>
      </w:pPr>
      <w:r>
        <w:rPr>
          <w:b/>
          <w:sz w:val="24"/>
        </w:rPr>
        <w:t>July 2014</w:t>
      </w:r>
    </w:p>
    <w:p w:rsidR="00187ECE" w:rsidRDefault="00187ECE" w:rsidP="00187ECE">
      <w:pPr>
        <w:jc w:val="center"/>
      </w:pPr>
    </w:p>
    <w:p w:rsidR="00187ECE" w:rsidRPr="001A35B8" w:rsidRDefault="00053891" w:rsidP="00187ECE">
      <w:pPr>
        <w:rPr>
          <w:b/>
          <w:sz w:val="24"/>
          <w:szCs w:val="24"/>
        </w:rPr>
      </w:pPr>
      <w:r>
        <w:rPr>
          <w:b/>
          <w:sz w:val="24"/>
          <w:szCs w:val="24"/>
        </w:rPr>
        <w:t>Model</w:t>
      </w:r>
      <w:r w:rsidR="00187ECE" w:rsidRPr="001A35B8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New Brunswick</w:t>
      </w:r>
      <w:r w:rsidR="00EB4A1D">
        <w:rPr>
          <w:b/>
          <w:sz w:val="24"/>
          <w:szCs w:val="24"/>
        </w:rPr>
        <w:t xml:space="preserve"> Shared Risk Pension Plan</w:t>
      </w:r>
      <w:r w:rsidR="007725CE">
        <w:rPr>
          <w:b/>
          <w:sz w:val="24"/>
          <w:szCs w:val="24"/>
        </w:rPr>
        <w:t xml:space="preserve"> (SRPP)</w:t>
      </w:r>
    </w:p>
    <w:p w:rsidR="00A9667E" w:rsidRDefault="00A9667E" w:rsidP="00187ECE">
      <w:pPr>
        <w:rPr>
          <w:b/>
        </w:rPr>
      </w:pPr>
    </w:p>
    <w:p w:rsidR="00187ECE" w:rsidRDefault="00187ECE" w:rsidP="00187ECE">
      <w:pPr>
        <w:rPr>
          <w:b/>
        </w:rPr>
      </w:pPr>
      <w:r w:rsidRPr="00187ECE">
        <w:rPr>
          <w:b/>
        </w:rPr>
        <w:t>Discussion</w:t>
      </w:r>
    </w:p>
    <w:p w:rsidR="00053891" w:rsidRDefault="00053891" w:rsidP="007E2E25">
      <w:pPr>
        <w:rPr>
          <w:sz w:val="24"/>
          <w:szCs w:val="24"/>
        </w:rPr>
      </w:pPr>
      <w:r>
        <w:rPr>
          <w:sz w:val="24"/>
          <w:szCs w:val="24"/>
        </w:rPr>
        <w:t xml:space="preserve">The retirement plan in place for </w:t>
      </w:r>
      <w:r w:rsidR="003418DD">
        <w:rPr>
          <w:sz w:val="24"/>
          <w:szCs w:val="24"/>
        </w:rPr>
        <w:t xml:space="preserve">employees of the Canadian province of New Brunswick </w:t>
      </w:r>
      <w:r w:rsidR="0047072F">
        <w:rPr>
          <w:sz w:val="24"/>
          <w:szCs w:val="24"/>
        </w:rPr>
        <w:t xml:space="preserve">(NB) </w:t>
      </w:r>
      <w:r w:rsidR="003418DD">
        <w:rPr>
          <w:sz w:val="24"/>
          <w:szCs w:val="24"/>
        </w:rPr>
        <w:t>contains two notable elements: first is</w:t>
      </w:r>
      <w:r w:rsidR="00D313DD">
        <w:rPr>
          <w:sz w:val="24"/>
          <w:szCs w:val="24"/>
        </w:rPr>
        <w:t xml:space="preserve"> the plan design</w:t>
      </w:r>
      <w:r w:rsidR="00A16048">
        <w:rPr>
          <w:sz w:val="24"/>
          <w:szCs w:val="24"/>
        </w:rPr>
        <w:t xml:space="preserve">; </w:t>
      </w:r>
      <w:r w:rsidR="00D313DD">
        <w:rPr>
          <w:sz w:val="24"/>
          <w:szCs w:val="24"/>
        </w:rPr>
        <w:t xml:space="preserve">second is a rule that governs </w:t>
      </w:r>
      <w:r w:rsidR="00197722">
        <w:rPr>
          <w:sz w:val="24"/>
          <w:szCs w:val="24"/>
        </w:rPr>
        <w:t>the circumstances under which</w:t>
      </w:r>
      <w:r w:rsidR="00D313DD">
        <w:rPr>
          <w:sz w:val="24"/>
          <w:szCs w:val="24"/>
        </w:rPr>
        <w:t xml:space="preserve"> and how the plan design should be altered.  </w:t>
      </w:r>
      <w:r w:rsidR="003418DD">
        <w:rPr>
          <w:sz w:val="24"/>
          <w:szCs w:val="24"/>
        </w:rPr>
        <w:t xml:space="preserve">This discussion focuses </w:t>
      </w:r>
      <w:r w:rsidR="000947E9">
        <w:rPr>
          <w:sz w:val="24"/>
          <w:szCs w:val="24"/>
        </w:rPr>
        <w:t xml:space="preserve">chiefly </w:t>
      </w:r>
      <w:r w:rsidR="003418DD">
        <w:rPr>
          <w:sz w:val="24"/>
          <w:szCs w:val="24"/>
        </w:rPr>
        <w:t>on the plan’s design.</w:t>
      </w:r>
    </w:p>
    <w:p w:rsidR="003418DD" w:rsidRDefault="003418DD" w:rsidP="007E2E25">
      <w:pPr>
        <w:rPr>
          <w:sz w:val="24"/>
          <w:szCs w:val="24"/>
        </w:rPr>
      </w:pPr>
    </w:p>
    <w:p w:rsidR="00097C9C" w:rsidRPr="00097C9C" w:rsidRDefault="00097C9C" w:rsidP="00097C9C">
      <w:pPr>
        <w:pStyle w:val="Default"/>
        <w:rPr>
          <w:rStyle w:val="A6"/>
          <w:rFonts w:asciiTheme="minorHAnsi" w:hAnsiTheme="minorHAnsi"/>
          <w:color w:val="auto"/>
          <w:sz w:val="24"/>
          <w:szCs w:val="24"/>
        </w:rPr>
      </w:pPr>
      <w:r w:rsidRPr="00097C9C">
        <w:rPr>
          <w:rFonts w:asciiTheme="minorHAnsi" w:hAnsiTheme="minorHAnsi"/>
        </w:rPr>
        <w:t xml:space="preserve">In 2010, in response to a consensus that the pension plan </w:t>
      </w:r>
      <w:r w:rsidR="00CA76FF">
        <w:rPr>
          <w:rFonts w:asciiTheme="minorHAnsi" w:hAnsiTheme="minorHAnsi"/>
        </w:rPr>
        <w:t xml:space="preserve">for the province’s public workers </w:t>
      </w:r>
      <w:r w:rsidRPr="00097C9C">
        <w:rPr>
          <w:rFonts w:asciiTheme="minorHAnsi" w:hAnsiTheme="minorHAnsi"/>
        </w:rPr>
        <w:t>had become unsustainable</w:t>
      </w:r>
      <w:r w:rsidR="008F3EF1">
        <w:rPr>
          <w:rFonts w:asciiTheme="minorHAnsi" w:hAnsiTheme="minorHAnsi"/>
        </w:rPr>
        <w:t xml:space="preserve"> or prohibitively expensive</w:t>
      </w:r>
      <w:r w:rsidRPr="00097C9C">
        <w:rPr>
          <w:rFonts w:asciiTheme="minorHAnsi" w:hAnsiTheme="minorHAnsi"/>
        </w:rPr>
        <w:t>, the NB premier (governor) appointed a task force to study pension reform. The task force “</w:t>
      </w:r>
      <w:r w:rsidRPr="00097C9C">
        <w:rPr>
          <w:rStyle w:val="A6"/>
          <w:rFonts w:asciiTheme="minorHAnsi" w:hAnsiTheme="minorHAnsi"/>
          <w:color w:val="auto"/>
          <w:sz w:val="24"/>
          <w:szCs w:val="24"/>
        </w:rPr>
        <w:t>undertook an extensive engagement process, in partnership with unions, private sector leaders and government, to select the most crucial principles which all sectors agreed should form the basis of a new pension model. Building upon these principles, the Task Force put forward a new model for the Province’s consideration.”</w:t>
      </w:r>
      <w:r>
        <w:rPr>
          <w:rStyle w:val="EndnoteReference"/>
          <w:rFonts w:asciiTheme="minorHAnsi" w:hAnsiTheme="minorHAnsi"/>
          <w:color w:val="auto"/>
        </w:rPr>
        <w:endnoteReference w:id="1"/>
      </w:r>
    </w:p>
    <w:p w:rsidR="00097C9C" w:rsidRPr="00097C9C" w:rsidRDefault="00097C9C" w:rsidP="00097C9C">
      <w:pPr>
        <w:pStyle w:val="Default"/>
        <w:rPr>
          <w:rStyle w:val="A6"/>
          <w:rFonts w:asciiTheme="minorHAnsi" w:hAnsiTheme="minorHAnsi"/>
          <w:color w:val="auto"/>
          <w:sz w:val="24"/>
          <w:szCs w:val="24"/>
        </w:rPr>
      </w:pPr>
    </w:p>
    <w:p w:rsidR="00CA4B9B" w:rsidRDefault="00D313DD" w:rsidP="00097C9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model </w:t>
      </w:r>
      <w:r w:rsidR="00CA4B9B">
        <w:rPr>
          <w:rFonts w:asciiTheme="minorHAnsi" w:hAnsiTheme="minorHAnsi"/>
        </w:rPr>
        <w:t>the task force</w:t>
      </w:r>
      <w:r>
        <w:rPr>
          <w:rFonts w:asciiTheme="minorHAnsi" w:hAnsiTheme="minorHAnsi"/>
        </w:rPr>
        <w:t xml:space="preserve"> proposed is called the</w:t>
      </w:r>
      <w:r w:rsidR="00097C9C" w:rsidRPr="00097C9C">
        <w:rPr>
          <w:rFonts w:asciiTheme="minorHAnsi" w:hAnsiTheme="minorHAnsi"/>
        </w:rPr>
        <w:t xml:space="preserve"> “Shared Risk Pension Model” </w:t>
      </w:r>
      <w:r>
        <w:rPr>
          <w:rFonts w:asciiTheme="minorHAnsi" w:hAnsiTheme="minorHAnsi"/>
        </w:rPr>
        <w:t xml:space="preserve">and </w:t>
      </w:r>
      <w:r w:rsidR="00097C9C" w:rsidRPr="00097C9C">
        <w:rPr>
          <w:rFonts w:asciiTheme="minorHAnsi" w:hAnsiTheme="minorHAnsi"/>
        </w:rPr>
        <w:t>was established in May 2012</w:t>
      </w:r>
      <w:r w:rsidR="008F3EF1">
        <w:rPr>
          <w:rFonts w:asciiTheme="minorHAnsi" w:hAnsiTheme="minorHAnsi"/>
        </w:rPr>
        <w:t xml:space="preserve"> as the Shared Risk Pension Plan</w:t>
      </w:r>
      <w:r w:rsidR="00097C9C" w:rsidRPr="00097C9C">
        <w:rPr>
          <w:rFonts w:asciiTheme="minorHAnsi" w:hAnsiTheme="minorHAnsi"/>
        </w:rPr>
        <w:t xml:space="preserve">. </w:t>
      </w:r>
      <w:r w:rsidR="003418DD" w:rsidRPr="00097C9C">
        <w:rPr>
          <w:rFonts w:asciiTheme="minorHAnsi" w:hAnsiTheme="minorHAnsi"/>
        </w:rPr>
        <w:t>The</w:t>
      </w:r>
      <w:r w:rsidR="0078264E" w:rsidRPr="00097C9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benefits component of the </w:t>
      </w:r>
      <w:r w:rsidR="00097C9C" w:rsidRPr="00097C9C">
        <w:rPr>
          <w:rFonts w:asciiTheme="minorHAnsi" w:hAnsiTheme="minorHAnsi"/>
        </w:rPr>
        <w:t xml:space="preserve">new model </w:t>
      </w:r>
      <w:r w:rsidR="0078264E" w:rsidRPr="00097C9C">
        <w:rPr>
          <w:rFonts w:asciiTheme="minorHAnsi" w:hAnsiTheme="minorHAnsi"/>
        </w:rPr>
        <w:t xml:space="preserve">contains two basic </w:t>
      </w:r>
      <w:r>
        <w:rPr>
          <w:rFonts w:asciiTheme="minorHAnsi" w:hAnsiTheme="minorHAnsi"/>
        </w:rPr>
        <w:t xml:space="preserve">parts: </w:t>
      </w:r>
      <w:r w:rsidR="00097C9C" w:rsidRPr="00097C9C">
        <w:rPr>
          <w:rFonts w:asciiTheme="minorHAnsi" w:hAnsiTheme="minorHAnsi"/>
        </w:rPr>
        <w:t xml:space="preserve">core benefits that are </w:t>
      </w:r>
      <w:r w:rsidR="006B7A50">
        <w:rPr>
          <w:rFonts w:asciiTheme="minorHAnsi" w:hAnsiTheme="minorHAnsi"/>
        </w:rPr>
        <w:t xml:space="preserve">(mostly) </w:t>
      </w:r>
      <w:r w:rsidR="00097C9C" w:rsidRPr="00097C9C">
        <w:rPr>
          <w:rFonts w:asciiTheme="minorHAnsi" w:hAnsiTheme="minorHAnsi"/>
        </w:rPr>
        <w:t xml:space="preserve">guaranteed; and </w:t>
      </w:r>
      <w:r w:rsidR="006B7A50">
        <w:rPr>
          <w:rFonts w:asciiTheme="minorHAnsi" w:hAnsiTheme="minorHAnsi"/>
        </w:rPr>
        <w:t xml:space="preserve">cost-of-living adjustments </w:t>
      </w:r>
      <w:r w:rsidR="00097C9C" w:rsidRPr="00097C9C">
        <w:rPr>
          <w:rFonts w:asciiTheme="minorHAnsi" w:hAnsiTheme="minorHAnsi"/>
        </w:rPr>
        <w:t>that are dependent on the plan’s investment and actuarial experience.</w:t>
      </w:r>
    </w:p>
    <w:p w:rsidR="00CA4B9B" w:rsidRDefault="00CA4B9B" w:rsidP="00097C9C">
      <w:pPr>
        <w:pStyle w:val="Default"/>
        <w:rPr>
          <w:rFonts w:asciiTheme="minorHAnsi" w:hAnsiTheme="minorHAnsi"/>
        </w:rPr>
      </w:pPr>
    </w:p>
    <w:p w:rsidR="00CA4B9B" w:rsidRPr="00377D8C" w:rsidRDefault="002C4ABF" w:rsidP="00097C9C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Summary overview of the New Brunswick </w:t>
      </w:r>
      <w:r w:rsidR="007725CE">
        <w:rPr>
          <w:rFonts w:asciiTheme="minorHAnsi" w:hAnsiTheme="minorHAnsi"/>
          <w:b/>
        </w:rPr>
        <w:t>SRPP</w:t>
      </w:r>
      <w:r w:rsidR="00CA4B9B" w:rsidRPr="00377D8C">
        <w:rPr>
          <w:rFonts w:asciiTheme="minorHAnsi" w:hAnsiTheme="minorHAnsi"/>
          <w:b/>
        </w:rPr>
        <w:t>:</w:t>
      </w:r>
    </w:p>
    <w:p w:rsidR="00CA4B9B" w:rsidRDefault="00CA4B9B" w:rsidP="00097C9C">
      <w:pPr>
        <w:pStyle w:val="Default"/>
        <w:rPr>
          <w:rFonts w:asciiTheme="minorHAnsi" w:hAnsiTheme="minorHAnsi"/>
        </w:rPr>
      </w:pPr>
    </w:p>
    <w:p w:rsidR="00CA4B9B" w:rsidRDefault="00CA4B9B" w:rsidP="00CA4B9B">
      <w:pPr>
        <w:pStyle w:val="Default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Conversion of all active workers </w:t>
      </w:r>
      <w:r w:rsidR="00B6256A">
        <w:rPr>
          <w:rFonts w:asciiTheme="minorHAnsi" w:hAnsiTheme="minorHAnsi"/>
        </w:rPr>
        <w:t xml:space="preserve">and new hires </w:t>
      </w:r>
      <w:r w:rsidR="007B179A">
        <w:rPr>
          <w:rFonts w:asciiTheme="minorHAnsi" w:hAnsiTheme="minorHAnsi"/>
        </w:rPr>
        <w:t xml:space="preserve">from the legacy defined benefit plan </w:t>
      </w:r>
      <w:r>
        <w:rPr>
          <w:rFonts w:asciiTheme="minorHAnsi" w:hAnsiTheme="minorHAnsi"/>
        </w:rPr>
        <w:t>to the new plan</w:t>
      </w:r>
    </w:p>
    <w:p w:rsidR="00927B0E" w:rsidRDefault="00927B0E" w:rsidP="00CA4B9B">
      <w:pPr>
        <w:pStyle w:val="Default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Calculation of </w:t>
      </w:r>
      <w:r w:rsidR="00A31A44">
        <w:rPr>
          <w:rFonts w:asciiTheme="minorHAnsi" w:hAnsiTheme="minorHAnsi"/>
        </w:rPr>
        <w:t xml:space="preserve">new </w:t>
      </w:r>
      <w:r>
        <w:rPr>
          <w:rFonts w:asciiTheme="minorHAnsi" w:hAnsiTheme="minorHAnsi"/>
        </w:rPr>
        <w:t xml:space="preserve">pension </w:t>
      </w:r>
      <w:r w:rsidR="00A31A44">
        <w:rPr>
          <w:rFonts w:asciiTheme="minorHAnsi" w:hAnsiTheme="minorHAnsi"/>
        </w:rPr>
        <w:t xml:space="preserve">accruals </w:t>
      </w:r>
      <w:r>
        <w:rPr>
          <w:rFonts w:asciiTheme="minorHAnsi" w:hAnsiTheme="minorHAnsi"/>
        </w:rPr>
        <w:t>based on career salary</w:t>
      </w:r>
      <w:r w:rsidR="00D313DD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rather than </w:t>
      </w:r>
      <w:r w:rsidR="00D313DD">
        <w:rPr>
          <w:rFonts w:asciiTheme="minorHAnsi" w:hAnsiTheme="minorHAnsi"/>
        </w:rPr>
        <w:t xml:space="preserve">the </w:t>
      </w:r>
      <w:r>
        <w:rPr>
          <w:rFonts w:asciiTheme="minorHAnsi" w:hAnsiTheme="minorHAnsi"/>
        </w:rPr>
        <w:t>final average salary</w:t>
      </w:r>
      <w:r w:rsidR="00D313DD">
        <w:rPr>
          <w:rFonts w:asciiTheme="minorHAnsi" w:hAnsiTheme="minorHAnsi"/>
        </w:rPr>
        <w:t xml:space="preserve"> used by the legacy defined benefit plan</w:t>
      </w:r>
    </w:p>
    <w:p w:rsidR="00CA4B9B" w:rsidRDefault="00CA4B9B" w:rsidP="00CA4B9B">
      <w:pPr>
        <w:pStyle w:val="Default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Incremental introduction of </w:t>
      </w:r>
      <w:r w:rsidR="00B6256A">
        <w:rPr>
          <w:rFonts w:asciiTheme="minorHAnsi" w:hAnsiTheme="minorHAnsi"/>
        </w:rPr>
        <w:t xml:space="preserve">increased </w:t>
      </w:r>
      <w:r>
        <w:rPr>
          <w:rFonts w:asciiTheme="minorHAnsi" w:hAnsiTheme="minorHAnsi"/>
        </w:rPr>
        <w:t>retirement eligibility</w:t>
      </w:r>
      <w:r w:rsidR="00B6256A">
        <w:rPr>
          <w:rFonts w:asciiTheme="minorHAnsi" w:hAnsiTheme="minorHAnsi"/>
        </w:rPr>
        <w:t xml:space="preserve"> requirements</w:t>
      </w:r>
    </w:p>
    <w:p w:rsidR="00CA4B9B" w:rsidRDefault="00CA4B9B" w:rsidP="00CA4B9B">
      <w:pPr>
        <w:pStyle w:val="Default"/>
        <w:numPr>
          <w:ilvl w:val="1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Current workers retain all benefits accrued </w:t>
      </w:r>
      <w:r w:rsidR="00D313DD">
        <w:rPr>
          <w:rFonts w:asciiTheme="minorHAnsi" w:hAnsiTheme="minorHAnsi"/>
        </w:rPr>
        <w:t xml:space="preserve">in the legacy DB plan </w:t>
      </w:r>
      <w:r>
        <w:rPr>
          <w:rFonts w:asciiTheme="minorHAnsi" w:hAnsiTheme="minorHAnsi"/>
        </w:rPr>
        <w:t>as of the onset date of the new plan</w:t>
      </w:r>
      <w:r w:rsidR="004C2EA0">
        <w:rPr>
          <w:rFonts w:asciiTheme="minorHAnsi" w:hAnsiTheme="minorHAnsi"/>
        </w:rPr>
        <w:t xml:space="preserve">; those become core, </w:t>
      </w:r>
      <w:r w:rsidR="001261CF">
        <w:rPr>
          <w:rFonts w:asciiTheme="minorHAnsi" w:hAnsiTheme="minorHAnsi"/>
        </w:rPr>
        <w:t xml:space="preserve">(mostly) </w:t>
      </w:r>
      <w:r w:rsidR="004C2EA0">
        <w:rPr>
          <w:rFonts w:asciiTheme="minorHAnsi" w:hAnsiTheme="minorHAnsi"/>
        </w:rPr>
        <w:t>guaranteed benefits under the new plan</w:t>
      </w:r>
    </w:p>
    <w:p w:rsidR="00CA4B9B" w:rsidRDefault="00CA4B9B" w:rsidP="00CA4B9B">
      <w:pPr>
        <w:pStyle w:val="Default"/>
        <w:numPr>
          <w:ilvl w:val="1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Retirement eligibility </w:t>
      </w:r>
      <w:r w:rsidR="00EA14F7">
        <w:rPr>
          <w:rFonts w:asciiTheme="minorHAnsi" w:hAnsiTheme="minorHAnsi"/>
        </w:rPr>
        <w:t>under the new plan</w:t>
      </w:r>
      <w:r>
        <w:rPr>
          <w:rFonts w:asciiTheme="minorHAnsi" w:hAnsiTheme="minorHAnsi"/>
        </w:rPr>
        <w:t xml:space="preserve"> is </w:t>
      </w:r>
      <w:r w:rsidR="001261CF">
        <w:rPr>
          <w:rFonts w:asciiTheme="minorHAnsi" w:hAnsiTheme="minorHAnsi"/>
        </w:rPr>
        <w:t xml:space="preserve">maintained or </w:t>
      </w:r>
      <w:r>
        <w:rPr>
          <w:rFonts w:asciiTheme="minorHAnsi" w:hAnsiTheme="minorHAnsi"/>
        </w:rPr>
        <w:t>increased slightly</w:t>
      </w:r>
      <w:r w:rsidR="00B6256A">
        <w:rPr>
          <w:rFonts w:asciiTheme="minorHAnsi" w:hAnsiTheme="minorHAnsi"/>
        </w:rPr>
        <w:t xml:space="preserve"> for those nearest to retirement eligibility</w:t>
      </w:r>
      <w:r>
        <w:rPr>
          <w:rFonts w:asciiTheme="minorHAnsi" w:hAnsiTheme="minorHAnsi"/>
        </w:rPr>
        <w:t xml:space="preserve">, </w:t>
      </w:r>
      <w:r w:rsidR="00D313DD">
        <w:rPr>
          <w:rFonts w:asciiTheme="minorHAnsi" w:hAnsiTheme="minorHAnsi"/>
        </w:rPr>
        <w:t xml:space="preserve">and </w:t>
      </w:r>
      <w:r>
        <w:rPr>
          <w:rFonts w:asciiTheme="minorHAnsi" w:hAnsiTheme="minorHAnsi"/>
        </w:rPr>
        <w:t>increas</w:t>
      </w:r>
      <w:r w:rsidR="00D313DD">
        <w:rPr>
          <w:rFonts w:asciiTheme="minorHAnsi" w:hAnsiTheme="minorHAnsi"/>
        </w:rPr>
        <w:t>es</w:t>
      </w:r>
      <w:r>
        <w:rPr>
          <w:rFonts w:asciiTheme="minorHAnsi" w:hAnsiTheme="minorHAnsi"/>
        </w:rPr>
        <w:t xml:space="preserve"> </w:t>
      </w:r>
      <w:r w:rsidR="00852D61">
        <w:rPr>
          <w:rFonts w:asciiTheme="minorHAnsi" w:hAnsiTheme="minorHAnsi"/>
        </w:rPr>
        <w:t>gradua</w:t>
      </w:r>
      <w:r>
        <w:rPr>
          <w:rFonts w:asciiTheme="minorHAnsi" w:hAnsiTheme="minorHAnsi"/>
        </w:rPr>
        <w:t xml:space="preserve">lly </w:t>
      </w:r>
      <w:r w:rsidR="00197722">
        <w:rPr>
          <w:rFonts w:asciiTheme="minorHAnsi" w:hAnsiTheme="minorHAnsi"/>
        </w:rPr>
        <w:t xml:space="preserve">the further one is </w:t>
      </w:r>
      <w:r>
        <w:rPr>
          <w:rFonts w:asciiTheme="minorHAnsi" w:hAnsiTheme="minorHAnsi"/>
        </w:rPr>
        <w:t>from</w:t>
      </w:r>
      <w:r w:rsidR="00852D61">
        <w:rPr>
          <w:rFonts w:asciiTheme="minorHAnsi" w:hAnsiTheme="minorHAnsi"/>
        </w:rPr>
        <w:t xml:space="preserve"> retirement</w:t>
      </w:r>
      <w:r>
        <w:rPr>
          <w:rFonts w:asciiTheme="minorHAnsi" w:hAnsiTheme="minorHAnsi"/>
        </w:rPr>
        <w:t xml:space="preserve"> eligibility</w:t>
      </w:r>
    </w:p>
    <w:p w:rsidR="00CA4B9B" w:rsidRDefault="00CA4B9B" w:rsidP="00CA4B9B">
      <w:pPr>
        <w:pStyle w:val="Default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Integration with Canada’s version of Social Security, i.e., a certain benefit </w:t>
      </w:r>
      <w:r w:rsidR="00EA14F7">
        <w:rPr>
          <w:rFonts w:asciiTheme="minorHAnsi" w:hAnsiTheme="minorHAnsi"/>
        </w:rPr>
        <w:t xml:space="preserve">is paid </w:t>
      </w:r>
      <w:r>
        <w:rPr>
          <w:rFonts w:asciiTheme="minorHAnsi" w:hAnsiTheme="minorHAnsi"/>
        </w:rPr>
        <w:t xml:space="preserve">until reaching age 65, </w:t>
      </w:r>
      <w:r w:rsidR="00D313DD">
        <w:rPr>
          <w:rFonts w:asciiTheme="minorHAnsi" w:hAnsiTheme="minorHAnsi"/>
        </w:rPr>
        <w:t xml:space="preserve">and </w:t>
      </w:r>
      <w:r>
        <w:rPr>
          <w:rFonts w:asciiTheme="minorHAnsi" w:hAnsiTheme="minorHAnsi"/>
        </w:rPr>
        <w:t>then reduced to reflect the onset of Social Security benefits</w:t>
      </w:r>
    </w:p>
    <w:p w:rsidR="00CA4B9B" w:rsidRDefault="00CA4B9B" w:rsidP="00CA4B9B">
      <w:pPr>
        <w:pStyle w:val="Default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Higher employee contributions, by around two to three percent of pay (depending on salary level)</w:t>
      </w:r>
    </w:p>
    <w:p w:rsidR="00CB57E9" w:rsidRDefault="00CB57E9" w:rsidP="00CB57E9">
      <w:pPr>
        <w:pStyle w:val="Default"/>
        <w:numPr>
          <w:ilvl w:val="1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Should the plan’s funding level fall below 100 percent for two consecutive years, the following changes will be implemented, in order: a) employee contribution rates rise; COLAs </w:t>
      </w:r>
      <w:r w:rsidR="001261CF">
        <w:rPr>
          <w:rFonts w:asciiTheme="minorHAnsi" w:hAnsiTheme="minorHAnsi"/>
        </w:rPr>
        <w:t>ar</w:t>
      </w:r>
      <w:r>
        <w:rPr>
          <w:rFonts w:asciiTheme="minorHAnsi" w:hAnsiTheme="minorHAnsi"/>
        </w:rPr>
        <w:t xml:space="preserve">e postponed; </w:t>
      </w:r>
      <w:r w:rsidR="00197722">
        <w:rPr>
          <w:rFonts w:asciiTheme="minorHAnsi" w:hAnsiTheme="minorHAnsi"/>
        </w:rPr>
        <w:t xml:space="preserve">and </w:t>
      </w:r>
      <w:r>
        <w:rPr>
          <w:rFonts w:asciiTheme="minorHAnsi" w:hAnsiTheme="minorHAnsi"/>
        </w:rPr>
        <w:t>base benefits may be adjusted</w:t>
      </w:r>
    </w:p>
    <w:p w:rsidR="00CB57E9" w:rsidRDefault="00CB57E9" w:rsidP="00CB57E9">
      <w:pPr>
        <w:pStyle w:val="Default"/>
        <w:numPr>
          <w:ilvl w:val="1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Cumulative increases or decreases in the employee contribution rate are limited to two percent </w:t>
      </w:r>
      <w:r w:rsidR="00197722">
        <w:rPr>
          <w:rFonts w:asciiTheme="minorHAnsi" w:hAnsiTheme="minorHAnsi"/>
        </w:rPr>
        <w:t xml:space="preserve">of pay </w:t>
      </w:r>
      <w:r>
        <w:rPr>
          <w:rFonts w:asciiTheme="minorHAnsi" w:hAnsiTheme="minorHAnsi"/>
        </w:rPr>
        <w:t>or 25 percent of the original rate</w:t>
      </w:r>
    </w:p>
    <w:p w:rsidR="00CA4B9B" w:rsidRDefault="00852D61" w:rsidP="00CA4B9B">
      <w:pPr>
        <w:pStyle w:val="Default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 </w:t>
      </w:r>
      <w:r w:rsidR="00CA4B9B">
        <w:rPr>
          <w:rFonts w:asciiTheme="minorHAnsi" w:hAnsiTheme="minorHAnsi"/>
        </w:rPr>
        <w:t xml:space="preserve">COLA based on plan funding condition, projected to be paid </w:t>
      </w:r>
      <w:r>
        <w:rPr>
          <w:rFonts w:asciiTheme="minorHAnsi" w:hAnsiTheme="minorHAnsi"/>
        </w:rPr>
        <w:t>75 percent of the time</w:t>
      </w:r>
    </w:p>
    <w:p w:rsidR="00B6256A" w:rsidRDefault="00B6256A" w:rsidP="00B6256A">
      <w:pPr>
        <w:pStyle w:val="Default"/>
        <w:numPr>
          <w:ilvl w:val="1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new COLA provision also affects those who already are retired</w:t>
      </w:r>
    </w:p>
    <w:p w:rsidR="00A737BC" w:rsidRDefault="00A737BC" w:rsidP="00B6256A">
      <w:pPr>
        <w:pStyle w:val="Default"/>
        <w:numPr>
          <w:ilvl w:val="1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The cap on the annual COLA is removed</w:t>
      </w:r>
    </w:p>
    <w:p w:rsidR="00A737BC" w:rsidRDefault="00A737BC" w:rsidP="00B6256A">
      <w:pPr>
        <w:pStyle w:val="Default"/>
        <w:numPr>
          <w:ilvl w:val="1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COLA “shortfalls” can be restored in future years if investment performance is sufficient</w:t>
      </w:r>
    </w:p>
    <w:p w:rsidR="00CA4B9B" w:rsidRPr="00FF5BE1" w:rsidRDefault="00927B0E" w:rsidP="00FF5BE1">
      <w:pPr>
        <w:pStyle w:val="Default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Annual stress-testing of the plan</w:t>
      </w:r>
      <w:r w:rsidR="00852D6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akin to that performed for banks and life insurance companies</w:t>
      </w:r>
      <w:r w:rsidR="00FF5BE1">
        <w:rPr>
          <w:rFonts w:asciiTheme="minorHAnsi" w:hAnsiTheme="minorHAnsi"/>
        </w:rPr>
        <w:t>. The tests must show a high level of confidence that benefits will be paid. If the plan fails</w:t>
      </w:r>
      <w:r w:rsidR="00852D61">
        <w:rPr>
          <w:rFonts w:asciiTheme="minorHAnsi" w:hAnsiTheme="minorHAnsi"/>
        </w:rPr>
        <w:t>,</w:t>
      </w:r>
      <w:r w:rsidR="00FF5BE1">
        <w:rPr>
          <w:rFonts w:asciiTheme="minorHAnsi" w:hAnsiTheme="minorHAnsi"/>
        </w:rPr>
        <w:t xml:space="preserve"> </w:t>
      </w:r>
      <w:r w:rsidR="00852D61">
        <w:rPr>
          <w:rFonts w:asciiTheme="minorHAnsi" w:hAnsiTheme="minorHAnsi"/>
        </w:rPr>
        <w:t>it</w:t>
      </w:r>
      <w:r w:rsidR="00FF5BE1">
        <w:rPr>
          <w:rFonts w:asciiTheme="minorHAnsi" w:hAnsiTheme="minorHAnsi"/>
        </w:rPr>
        <w:t xml:space="preserve"> must modify its investment</w:t>
      </w:r>
      <w:r w:rsidR="00852D61">
        <w:rPr>
          <w:rFonts w:asciiTheme="minorHAnsi" w:hAnsiTheme="minorHAnsi"/>
        </w:rPr>
        <w:t>,</w:t>
      </w:r>
      <w:r w:rsidR="00FF5BE1">
        <w:rPr>
          <w:rFonts w:asciiTheme="minorHAnsi" w:hAnsiTheme="minorHAnsi"/>
        </w:rPr>
        <w:t xml:space="preserve"> funding, or benefit rules until the plan passes the test.</w:t>
      </w:r>
    </w:p>
    <w:p w:rsidR="00CA4B9B" w:rsidRDefault="00CA4B9B" w:rsidP="00097C9C">
      <w:pPr>
        <w:pStyle w:val="Default"/>
        <w:rPr>
          <w:rFonts w:asciiTheme="minorHAnsi" w:hAnsiTheme="minorHAnsi"/>
        </w:rPr>
      </w:pPr>
    </w:p>
    <w:p w:rsidR="0047072F" w:rsidRDefault="0047072F" w:rsidP="00097C9C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</w:t>
      </w:r>
      <w:r w:rsidR="007725CE">
        <w:rPr>
          <w:rFonts w:asciiTheme="minorHAnsi" w:hAnsiTheme="minorHAnsi"/>
        </w:rPr>
        <w:t xml:space="preserve">NB SRPP </w:t>
      </w:r>
      <w:r>
        <w:rPr>
          <w:rFonts w:asciiTheme="minorHAnsi" w:hAnsiTheme="minorHAnsi"/>
        </w:rPr>
        <w:t>model is a variation of a Dutch retirement plan model known as a “collective defined contribution plan.” A key feature of collective DC plans is that the employer contribution rate is fixed</w:t>
      </w:r>
      <w:r w:rsidR="00A31A44">
        <w:rPr>
          <w:rFonts w:asciiTheme="minorHAnsi" w:hAnsiTheme="minorHAnsi"/>
        </w:rPr>
        <w:t xml:space="preserve"> (subject to possible narrow adjustments)</w:t>
      </w:r>
      <w:r>
        <w:rPr>
          <w:rFonts w:asciiTheme="minorHAnsi" w:hAnsiTheme="minorHAnsi"/>
        </w:rPr>
        <w:t>; other features of the plan</w:t>
      </w:r>
      <w:r w:rsidR="00F95337">
        <w:rPr>
          <w:rFonts w:asciiTheme="minorHAnsi" w:hAnsiTheme="minorHAnsi"/>
        </w:rPr>
        <w:t>, including benefit levels, actuarial methods and assumptions, and employee contribution rates,</w:t>
      </w:r>
      <w:r>
        <w:rPr>
          <w:rFonts w:asciiTheme="minorHAnsi" w:hAnsiTheme="minorHAnsi"/>
        </w:rPr>
        <w:t xml:space="preserve"> may be adjusted depending on the actuarial and investment performance of the plan.</w:t>
      </w:r>
      <w:r w:rsidR="001773C1">
        <w:rPr>
          <w:rFonts w:asciiTheme="minorHAnsi" w:hAnsiTheme="minorHAnsi"/>
        </w:rPr>
        <w:t xml:space="preserve"> Another key feature of the collective DC plan </w:t>
      </w:r>
      <w:r w:rsidR="00377D8C">
        <w:rPr>
          <w:rFonts w:asciiTheme="minorHAnsi" w:hAnsiTheme="minorHAnsi"/>
        </w:rPr>
        <w:t xml:space="preserve">concept </w:t>
      </w:r>
      <w:r w:rsidR="001773C1">
        <w:rPr>
          <w:rFonts w:asciiTheme="minorHAnsi" w:hAnsiTheme="minorHAnsi"/>
        </w:rPr>
        <w:t xml:space="preserve">is that measures taken </w:t>
      </w:r>
      <w:r w:rsidR="00D313DD">
        <w:rPr>
          <w:rFonts w:asciiTheme="minorHAnsi" w:hAnsiTheme="minorHAnsi"/>
        </w:rPr>
        <w:t>in case th</w:t>
      </w:r>
      <w:r w:rsidR="001773C1">
        <w:rPr>
          <w:rFonts w:asciiTheme="minorHAnsi" w:hAnsiTheme="minorHAnsi"/>
        </w:rPr>
        <w:t xml:space="preserve">e plan falls short of actuarial targets are </w:t>
      </w:r>
      <w:r w:rsidR="00377D8C">
        <w:rPr>
          <w:rFonts w:asciiTheme="minorHAnsi" w:hAnsiTheme="minorHAnsi"/>
        </w:rPr>
        <w:t>determined in advance</w:t>
      </w:r>
      <w:r w:rsidR="001773C1">
        <w:rPr>
          <w:rFonts w:asciiTheme="minorHAnsi" w:hAnsiTheme="minorHAnsi"/>
        </w:rPr>
        <w:t>.</w:t>
      </w:r>
    </w:p>
    <w:p w:rsidR="00377D8C" w:rsidRDefault="00377D8C" w:rsidP="00097C9C">
      <w:pPr>
        <w:pStyle w:val="Default"/>
        <w:rPr>
          <w:rFonts w:asciiTheme="minorHAnsi" w:hAnsiTheme="minorHAnsi"/>
        </w:rPr>
      </w:pPr>
    </w:p>
    <w:p w:rsidR="00377D8C" w:rsidRPr="00377D8C" w:rsidRDefault="00377D8C" w:rsidP="00097C9C">
      <w:pPr>
        <w:pStyle w:val="Default"/>
        <w:rPr>
          <w:rFonts w:asciiTheme="minorHAnsi" w:hAnsiTheme="minorHAnsi"/>
          <w:b/>
        </w:rPr>
      </w:pPr>
      <w:r w:rsidRPr="00377D8C">
        <w:rPr>
          <w:rFonts w:asciiTheme="minorHAnsi" w:hAnsiTheme="minorHAnsi"/>
          <w:b/>
        </w:rPr>
        <w:t>Key</w:t>
      </w:r>
      <w:r>
        <w:rPr>
          <w:rFonts w:asciiTheme="minorHAnsi" w:hAnsiTheme="minorHAnsi"/>
          <w:b/>
        </w:rPr>
        <w:t xml:space="preserve"> plan design</w:t>
      </w:r>
      <w:r w:rsidRPr="00377D8C">
        <w:rPr>
          <w:rFonts w:asciiTheme="minorHAnsi" w:hAnsiTheme="minorHAnsi"/>
          <w:b/>
        </w:rPr>
        <w:t xml:space="preserve"> features of New Brunswick Shared Risk Pension Plan</w:t>
      </w:r>
      <w:r>
        <w:rPr>
          <w:rStyle w:val="EndnoteReference"/>
          <w:rFonts w:asciiTheme="minorHAnsi" w:hAnsiTheme="minorHAnsi"/>
          <w:b/>
        </w:rPr>
        <w:endnoteReference w:id="2"/>
      </w:r>
    </w:p>
    <w:p w:rsidR="00097C9C" w:rsidRDefault="00097C9C" w:rsidP="00097C9C">
      <w:pPr>
        <w:pStyle w:val="Default"/>
        <w:rPr>
          <w:rFonts w:asciiTheme="minorHAnsi" w:hAnsiTheme="minorHAnsi"/>
        </w:rPr>
      </w:pPr>
    </w:p>
    <w:tbl>
      <w:tblPr>
        <w:tblStyle w:val="TableGrid"/>
        <w:tblW w:w="0" w:type="auto"/>
        <w:tblInd w:w="378" w:type="dxa"/>
        <w:tblLook w:val="04A0"/>
      </w:tblPr>
      <w:tblGrid>
        <w:gridCol w:w="2880"/>
        <w:gridCol w:w="4860"/>
      </w:tblGrid>
      <w:tr w:rsidR="0057341D" w:rsidTr="00377D8C">
        <w:trPr>
          <w:trHeight w:val="908"/>
        </w:trPr>
        <w:tc>
          <w:tcPr>
            <w:tcW w:w="2880" w:type="dxa"/>
            <w:vAlign w:val="center"/>
          </w:tcPr>
          <w:p w:rsidR="0057341D" w:rsidRPr="00377D8C" w:rsidRDefault="0057341D" w:rsidP="00097C9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377D8C">
              <w:rPr>
                <w:rFonts w:asciiTheme="minorHAnsi" w:hAnsiTheme="minorHAnsi"/>
                <w:b/>
                <w:sz w:val="22"/>
                <w:szCs w:val="22"/>
              </w:rPr>
              <w:t>Member contribution rate</w:t>
            </w:r>
          </w:p>
        </w:tc>
        <w:tc>
          <w:tcPr>
            <w:tcW w:w="4860" w:type="dxa"/>
            <w:vAlign w:val="center"/>
          </w:tcPr>
          <w:p w:rsidR="0057341D" w:rsidRDefault="0057341D" w:rsidP="00097C9C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7.5% on first $52,000 in annual salary; 10.7% on amounts above</w:t>
            </w:r>
          </w:p>
        </w:tc>
      </w:tr>
      <w:tr w:rsidR="0057341D" w:rsidTr="00377D8C">
        <w:trPr>
          <w:trHeight w:val="890"/>
        </w:trPr>
        <w:tc>
          <w:tcPr>
            <w:tcW w:w="2880" w:type="dxa"/>
            <w:vAlign w:val="center"/>
          </w:tcPr>
          <w:p w:rsidR="0057341D" w:rsidRPr="00377D8C" w:rsidRDefault="0057341D" w:rsidP="00097C9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377D8C">
              <w:rPr>
                <w:rFonts w:asciiTheme="minorHAnsi" w:hAnsiTheme="minorHAnsi"/>
                <w:b/>
                <w:sz w:val="22"/>
                <w:szCs w:val="22"/>
              </w:rPr>
              <w:t>Employer contribution rate</w:t>
            </w:r>
          </w:p>
        </w:tc>
        <w:tc>
          <w:tcPr>
            <w:tcW w:w="4860" w:type="dxa"/>
            <w:vAlign w:val="center"/>
          </w:tcPr>
          <w:p w:rsidR="0057341D" w:rsidRDefault="0057341D" w:rsidP="00097C9C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12.5%, scheduled to decline gradually to </w:t>
            </w:r>
            <w:r w:rsidR="00377D8C">
              <w:rPr>
                <w:rFonts w:asciiTheme="minorHAnsi" w:hAnsiTheme="minorHAnsi"/>
              </w:rPr>
              <w:t xml:space="preserve">eventually </w:t>
            </w:r>
            <w:r>
              <w:rPr>
                <w:rFonts w:asciiTheme="minorHAnsi" w:hAnsiTheme="minorHAnsi"/>
              </w:rPr>
              <w:t>meet the employee contribution rate</w:t>
            </w:r>
          </w:p>
        </w:tc>
      </w:tr>
      <w:tr w:rsidR="0057341D" w:rsidTr="00377D8C">
        <w:trPr>
          <w:trHeight w:val="890"/>
        </w:trPr>
        <w:tc>
          <w:tcPr>
            <w:tcW w:w="2880" w:type="dxa"/>
            <w:vAlign w:val="center"/>
          </w:tcPr>
          <w:p w:rsidR="0057341D" w:rsidRPr="00377D8C" w:rsidRDefault="0057341D" w:rsidP="00097C9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377D8C">
              <w:rPr>
                <w:rFonts w:asciiTheme="minorHAnsi" w:hAnsiTheme="minorHAnsi"/>
                <w:b/>
                <w:sz w:val="22"/>
                <w:szCs w:val="22"/>
              </w:rPr>
              <w:t>Retirement eligibility</w:t>
            </w:r>
          </w:p>
        </w:tc>
        <w:tc>
          <w:tcPr>
            <w:tcW w:w="4860" w:type="dxa"/>
            <w:vAlign w:val="center"/>
          </w:tcPr>
          <w:p w:rsidR="0057341D" w:rsidRDefault="0057341D" w:rsidP="00097C9C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Age 65 with 5 years of service for an unreduced benefit; 55/5 for an early retirement benefit</w:t>
            </w:r>
          </w:p>
        </w:tc>
      </w:tr>
      <w:tr w:rsidR="0057341D" w:rsidTr="00E527E5">
        <w:trPr>
          <w:trHeight w:val="1457"/>
        </w:trPr>
        <w:tc>
          <w:tcPr>
            <w:tcW w:w="2880" w:type="dxa"/>
            <w:vAlign w:val="center"/>
          </w:tcPr>
          <w:p w:rsidR="0057341D" w:rsidRPr="00377D8C" w:rsidRDefault="0057341D" w:rsidP="00097C9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377D8C">
              <w:rPr>
                <w:rFonts w:asciiTheme="minorHAnsi" w:hAnsiTheme="minorHAnsi"/>
                <w:b/>
                <w:sz w:val="22"/>
                <w:szCs w:val="22"/>
              </w:rPr>
              <w:t>Retirement factor for retirement prior to age 65</w:t>
            </w:r>
          </w:p>
        </w:tc>
        <w:tc>
          <w:tcPr>
            <w:tcW w:w="4860" w:type="dxa"/>
            <w:vAlign w:val="center"/>
          </w:tcPr>
          <w:p w:rsidR="0057341D" w:rsidRDefault="0057341D" w:rsidP="00AD4FF2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2.0%, adjusted for part-time or overtime status, less 5% for each year of age under 65</w:t>
            </w:r>
            <w:r w:rsidR="007725CE">
              <w:rPr>
                <w:rFonts w:asciiTheme="minorHAnsi" w:hAnsiTheme="minorHAnsi"/>
              </w:rPr>
              <w:t xml:space="preserve">; </w:t>
            </w:r>
            <w:r w:rsidR="00AD4FF2">
              <w:rPr>
                <w:rFonts w:asciiTheme="minorHAnsi" w:hAnsiTheme="minorHAnsi"/>
              </w:rPr>
              <w:t xml:space="preserve">adjusted at age 65 to </w:t>
            </w:r>
            <w:r w:rsidR="00197722">
              <w:rPr>
                <w:rFonts w:asciiTheme="minorHAnsi" w:hAnsiTheme="minorHAnsi"/>
              </w:rPr>
              <w:t xml:space="preserve">the </w:t>
            </w:r>
            <w:r w:rsidR="00AD4FF2">
              <w:rPr>
                <w:rFonts w:asciiTheme="minorHAnsi" w:hAnsiTheme="minorHAnsi"/>
              </w:rPr>
              <w:t xml:space="preserve">factor for retirement at age 65 </w:t>
            </w:r>
            <w:r w:rsidR="00197722">
              <w:rPr>
                <w:rFonts w:asciiTheme="minorHAnsi" w:hAnsiTheme="minorHAnsi"/>
              </w:rPr>
              <w:t xml:space="preserve">and higher </w:t>
            </w:r>
            <w:r w:rsidR="00AD4FF2">
              <w:rPr>
                <w:rFonts w:asciiTheme="minorHAnsi" w:hAnsiTheme="minorHAnsi"/>
              </w:rPr>
              <w:t>(below)</w:t>
            </w:r>
          </w:p>
        </w:tc>
      </w:tr>
      <w:tr w:rsidR="0057341D" w:rsidTr="00E527E5">
        <w:trPr>
          <w:trHeight w:val="1070"/>
        </w:trPr>
        <w:tc>
          <w:tcPr>
            <w:tcW w:w="2880" w:type="dxa"/>
            <w:vAlign w:val="center"/>
          </w:tcPr>
          <w:p w:rsidR="0057341D" w:rsidRPr="00377D8C" w:rsidRDefault="002A7DF7" w:rsidP="00097C9C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377D8C">
              <w:rPr>
                <w:rFonts w:asciiTheme="minorHAnsi" w:hAnsiTheme="minorHAnsi"/>
                <w:b/>
                <w:sz w:val="22"/>
                <w:szCs w:val="22"/>
              </w:rPr>
              <w:t>Retirement factor for retirement at age 65 and higher</w:t>
            </w:r>
          </w:p>
        </w:tc>
        <w:tc>
          <w:tcPr>
            <w:tcW w:w="4860" w:type="dxa"/>
            <w:vAlign w:val="center"/>
          </w:tcPr>
          <w:p w:rsidR="0057341D" w:rsidRDefault="002A7DF7" w:rsidP="001261CF">
            <w:pPr>
              <w:pStyle w:val="Defaul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1.4%</w:t>
            </w:r>
            <w:r w:rsidR="00E527E5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</w:t>
            </w:r>
            <w:r w:rsidR="00E527E5">
              <w:rPr>
                <w:rFonts w:asciiTheme="minorHAnsi" w:hAnsiTheme="minorHAnsi"/>
              </w:rPr>
              <w:t xml:space="preserve">adjusted for part-time or overtime status </w:t>
            </w:r>
            <w:r>
              <w:rPr>
                <w:rFonts w:asciiTheme="minorHAnsi" w:hAnsiTheme="minorHAnsi"/>
              </w:rPr>
              <w:t>for salary up to maximum pension earnings level</w:t>
            </w:r>
            <w:r w:rsidR="001261CF">
              <w:rPr>
                <w:rFonts w:asciiTheme="minorHAnsi" w:hAnsiTheme="minorHAnsi"/>
              </w:rPr>
              <w:t xml:space="preserve"> ($52.5k)</w:t>
            </w:r>
            <w:r>
              <w:rPr>
                <w:rFonts w:asciiTheme="minorHAnsi" w:hAnsiTheme="minorHAnsi"/>
              </w:rPr>
              <w:t>, plus 2.0% for salary above maximum pension earnings level</w:t>
            </w:r>
          </w:p>
        </w:tc>
      </w:tr>
    </w:tbl>
    <w:p w:rsidR="0057341D" w:rsidRDefault="0057341D" w:rsidP="00097C9C">
      <w:pPr>
        <w:pStyle w:val="Default"/>
        <w:rPr>
          <w:rFonts w:asciiTheme="minorHAnsi" w:hAnsiTheme="minorHAnsi"/>
        </w:rPr>
      </w:pPr>
    </w:p>
    <w:p w:rsidR="0057341D" w:rsidRPr="00097C9C" w:rsidRDefault="0057341D" w:rsidP="00097C9C">
      <w:pPr>
        <w:pStyle w:val="Default"/>
        <w:rPr>
          <w:rFonts w:asciiTheme="minorHAnsi" w:hAnsiTheme="minorHAnsi"/>
        </w:rPr>
      </w:pPr>
    </w:p>
    <w:p w:rsidR="00097C9C" w:rsidRDefault="00097C9C" w:rsidP="00097C9C">
      <w:pPr>
        <w:pStyle w:val="Default"/>
      </w:pPr>
    </w:p>
    <w:p w:rsidR="00097C9C" w:rsidRDefault="00097C9C" w:rsidP="00097C9C">
      <w:pPr>
        <w:pStyle w:val="Default"/>
      </w:pPr>
    </w:p>
    <w:p w:rsidR="002F0CDF" w:rsidRDefault="002F0CDF" w:rsidP="00187ECE">
      <w:pPr>
        <w:rPr>
          <w:sz w:val="24"/>
          <w:szCs w:val="24"/>
        </w:rPr>
      </w:pPr>
    </w:p>
    <w:p w:rsidR="00F93DA0" w:rsidRDefault="00F93DA0" w:rsidP="00187ECE">
      <w:pPr>
        <w:rPr>
          <w:sz w:val="24"/>
          <w:szCs w:val="24"/>
        </w:rPr>
      </w:pPr>
    </w:p>
    <w:sectPr w:rsidR="00F93DA0" w:rsidSect="00D9578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E8B" w:rsidRDefault="00007E8B" w:rsidP="003755B8">
      <w:r>
        <w:separator/>
      </w:r>
    </w:p>
  </w:endnote>
  <w:endnote w:type="continuationSeparator" w:id="0">
    <w:p w:rsidR="00007E8B" w:rsidRDefault="00007E8B" w:rsidP="003755B8">
      <w:r>
        <w:continuationSeparator/>
      </w:r>
    </w:p>
  </w:endnote>
  <w:endnote w:id="1">
    <w:p w:rsidR="00097C9C" w:rsidRDefault="00097C9C">
      <w:pPr>
        <w:pStyle w:val="EndnoteText"/>
      </w:pPr>
      <w:r>
        <w:rPr>
          <w:rStyle w:val="EndnoteReference"/>
        </w:rPr>
        <w:endnoteRef/>
      </w:r>
      <w:r>
        <w:t xml:space="preserve"> Canada’s Public Policy Forum, Pension Reform Issues Brief, February 2013</w:t>
      </w:r>
    </w:p>
  </w:endnote>
  <w:endnote w:id="2">
    <w:p w:rsidR="00377D8C" w:rsidRDefault="00377D8C">
      <w:pPr>
        <w:pStyle w:val="EndnoteText"/>
      </w:pPr>
      <w:r>
        <w:rPr>
          <w:rStyle w:val="EndnoteReference"/>
        </w:rPr>
        <w:endnoteRef/>
      </w:r>
      <w:r>
        <w:t xml:space="preserve"> Public Service Shared Risk Plan: A guide for members: </w:t>
      </w:r>
      <w:hyperlink r:id="rId1" w:history="1">
        <w:r w:rsidRPr="0080451F">
          <w:rPr>
            <w:rStyle w:val="Hyperlink"/>
          </w:rPr>
          <w:t>http://www2.gnb.ca/content/dam/gnb/Departments/ohr-brh/pdf/pensions/pension_plans/pssa/PSSRP_Booklet.pdf</w:t>
        </w:r>
      </w:hyperlink>
    </w:p>
    <w:p w:rsidR="00377D8C" w:rsidRDefault="00377D8C">
      <w:pPr>
        <w:pStyle w:val="EndnoteText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egoe UI"/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E8B" w:rsidRDefault="00007E8B" w:rsidP="003755B8">
      <w:r>
        <w:separator/>
      </w:r>
    </w:p>
  </w:footnote>
  <w:footnote w:type="continuationSeparator" w:id="0">
    <w:p w:rsidR="00007E8B" w:rsidRDefault="00007E8B" w:rsidP="003755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17005"/>
    <w:multiLevelType w:val="hybridMultilevel"/>
    <w:tmpl w:val="77A8F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05A60"/>
    <w:multiLevelType w:val="hybridMultilevel"/>
    <w:tmpl w:val="B0CE6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425E6"/>
    <w:multiLevelType w:val="hybridMultilevel"/>
    <w:tmpl w:val="3A289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2145F"/>
    <w:multiLevelType w:val="hybridMultilevel"/>
    <w:tmpl w:val="80B4F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C87563"/>
    <w:multiLevelType w:val="hybridMultilevel"/>
    <w:tmpl w:val="38BC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71DB8"/>
    <w:multiLevelType w:val="hybridMultilevel"/>
    <w:tmpl w:val="C2B2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2D7125"/>
    <w:multiLevelType w:val="hybridMultilevel"/>
    <w:tmpl w:val="AE88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EC19B6"/>
    <w:multiLevelType w:val="hybridMultilevel"/>
    <w:tmpl w:val="270A1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0C25A1"/>
    <w:multiLevelType w:val="hybridMultilevel"/>
    <w:tmpl w:val="75DAC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31512B"/>
    <w:multiLevelType w:val="hybridMultilevel"/>
    <w:tmpl w:val="266A1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761D39"/>
    <w:multiLevelType w:val="hybridMultilevel"/>
    <w:tmpl w:val="93129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5D8"/>
    <w:rsid w:val="00007E8B"/>
    <w:rsid w:val="00010A6D"/>
    <w:rsid w:val="00025569"/>
    <w:rsid w:val="000305D8"/>
    <w:rsid w:val="0003381E"/>
    <w:rsid w:val="00035130"/>
    <w:rsid w:val="00047113"/>
    <w:rsid w:val="00053891"/>
    <w:rsid w:val="00071A31"/>
    <w:rsid w:val="000729E9"/>
    <w:rsid w:val="00085588"/>
    <w:rsid w:val="00086212"/>
    <w:rsid w:val="000947E9"/>
    <w:rsid w:val="00097C9C"/>
    <w:rsid w:val="000A094C"/>
    <w:rsid w:val="000A0A94"/>
    <w:rsid w:val="000B5A18"/>
    <w:rsid w:val="000C3177"/>
    <w:rsid w:val="000C79C2"/>
    <w:rsid w:val="000D34D1"/>
    <w:rsid w:val="000E752F"/>
    <w:rsid w:val="00101B2B"/>
    <w:rsid w:val="0010767F"/>
    <w:rsid w:val="001261CF"/>
    <w:rsid w:val="00127E76"/>
    <w:rsid w:val="00170A3D"/>
    <w:rsid w:val="001773C1"/>
    <w:rsid w:val="00187ECE"/>
    <w:rsid w:val="00197722"/>
    <w:rsid w:val="001A35B8"/>
    <w:rsid w:val="001C646A"/>
    <w:rsid w:val="001D591C"/>
    <w:rsid w:val="002323F0"/>
    <w:rsid w:val="002508D0"/>
    <w:rsid w:val="0025395D"/>
    <w:rsid w:val="00253D6F"/>
    <w:rsid w:val="0026775C"/>
    <w:rsid w:val="002812E9"/>
    <w:rsid w:val="00284AED"/>
    <w:rsid w:val="002A37A2"/>
    <w:rsid w:val="002A645D"/>
    <w:rsid w:val="002A7DF7"/>
    <w:rsid w:val="002C4ABF"/>
    <w:rsid w:val="002D3FB6"/>
    <w:rsid w:val="002D67CF"/>
    <w:rsid w:val="002E071C"/>
    <w:rsid w:val="002F0CDF"/>
    <w:rsid w:val="002F4CDC"/>
    <w:rsid w:val="00305EAC"/>
    <w:rsid w:val="00322E06"/>
    <w:rsid w:val="003418DD"/>
    <w:rsid w:val="00343C67"/>
    <w:rsid w:val="0036281D"/>
    <w:rsid w:val="003755B8"/>
    <w:rsid w:val="003771E5"/>
    <w:rsid w:val="00377D8C"/>
    <w:rsid w:val="00397BE9"/>
    <w:rsid w:val="003B3323"/>
    <w:rsid w:val="003D24D3"/>
    <w:rsid w:val="003E6AFD"/>
    <w:rsid w:val="003F007B"/>
    <w:rsid w:val="00404BE6"/>
    <w:rsid w:val="004201D4"/>
    <w:rsid w:val="00426897"/>
    <w:rsid w:val="00427E5B"/>
    <w:rsid w:val="0043068B"/>
    <w:rsid w:val="00434C13"/>
    <w:rsid w:val="004366B3"/>
    <w:rsid w:val="00450AD5"/>
    <w:rsid w:val="004615D5"/>
    <w:rsid w:val="004641A8"/>
    <w:rsid w:val="0047072F"/>
    <w:rsid w:val="00482ED1"/>
    <w:rsid w:val="0049318F"/>
    <w:rsid w:val="00494399"/>
    <w:rsid w:val="004A1978"/>
    <w:rsid w:val="004C2EA0"/>
    <w:rsid w:val="004C776F"/>
    <w:rsid w:val="00530BF3"/>
    <w:rsid w:val="00533144"/>
    <w:rsid w:val="0056311C"/>
    <w:rsid w:val="00563FF2"/>
    <w:rsid w:val="005727DA"/>
    <w:rsid w:val="0057341D"/>
    <w:rsid w:val="00587F01"/>
    <w:rsid w:val="00594BAE"/>
    <w:rsid w:val="005A519E"/>
    <w:rsid w:val="005F13B2"/>
    <w:rsid w:val="00611683"/>
    <w:rsid w:val="00651822"/>
    <w:rsid w:val="00656B64"/>
    <w:rsid w:val="006652D5"/>
    <w:rsid w:val="0066770D"/>
    <w:rsid w:val="00670C0B"/>
    <w:rsid w:val="00677522"/>
    <w:rsid w:val="006875B7"/>
    <w:rsid w:val="00687CB4"/>
    <w:rsid w:val="006906B9"/>
    <w:rsid w:val="00696E71"/>
    <w:rsid w:val="006A07BA"/>
    <w:rsid w:val="006B7A50"/>
    <w:rsid w:val="006F09AC"/>
    <w:rsid w:val="006F1039"/>
    <w:rsid w:val="006F2F73"/>
    <w:rsid w:val="00710857"/>
    <w:rsid w:val="00714CD5"/>
    <w:rsid w:val="00721178"/>
    <w:rsid w:val="007307F4"/>
    <w:rsid w:val="00731F5B"/>
    <w:rsid w:val="007477CC"/>
    <w:rsid w:val="007649AB"/>
    <w:rsid w:val="00770906"/>
    <w:rsid w:val="007725CE"/>
    <w:rsid w:val="0078206A"/>
    <w:rsid w:val="0078264E"/>
    <w:rsid w:val="007B179A"/>
    <w:rsid w:val="007C0F95"/>
    <w:rsid w:val="007D1FFE"/>
    <w:rsid w:val="007E17F8"/>
    <w:rsid w:val="007E2E25"/>
    <w:rsid w:val="00802E6E"/>
    <w:rsid w:val="00840861"/>
    <w:rsid w:val="00842E2A"/>
    <w:rsid w:val="00852D61"/>
    <w:rsid w:val="00860A12"/>
    <w:rsid w:val="008662B6"/>
    <w:rsid w:val="00884CBD"/>
    <w:rsid w:val="00892137"/>
    <w:rsid w:val="008A051D"/>
    <w:rsid w:val="008B00F6"/>
    <w:rsid w:val="008D65BD"/>
    <w:rsid w:val="008D7BB8"/>
    <w:rsid w:val="008E2A91"/>
    <w:rsid w:val="008F3EF1"/>
    <w:rsid w:val="008F5D05"/>
    <w:rsid w:val="009022C1"/>
    <w:rsid w:val="00927B0E"/>
    <w:rsid w:val="00927EFE"/>
    <w:rsid w:val="0093117B"/>
    <w:rsid w:val="00954A44"/>
    <w:rsid w:val="009562F6"/>
    <w:rsid w:val="00966BB4"/>
    <w:rsid w:val="00972240"/>
    <w:rsid w:val="009969A9"/>
    <w:rsid w:val="009C716A"/>
    <w:rsid w:val="009D5D95"/>
    <w:rsid w:val="009E731F"/>
    <w:rsid w:val="00A00464"/>
    <w:rsid w:val="00A123F6"/>
    <w:rsid w:val="00A16048"/>
    <w:rsid w:val="00A31A44"/>
    <w:rsid w:val="00A3471A"/>
    <w:rsid w:val="00A36F24"/>
    <w:rsid w:val="00A42181"/>
    <w:rsid w:val="00A632B7"/>
    <w:rsid w:val="00A70ED1"/>
    <w:rsid w:val="00A737BC"/>
    <w:rsid w:val="00A81204"/>
    <w:rsid w:val="00A82806"/>
    <w:rsid w:val="00A9667E"/>
    <w:rsid w:val="00AC5A65"/>
    <w:rsid w:val="00AD4FF2"/>
    <w:rsid w:val="00AE1CC5"/>
    <w:rsid w:val="00AE5B3B"/>
    <w:rsid w:val="00AF2607"/>
    <w:rsid w:val="00AF7035"/>
    <w:rsid w:val="00B1047B"/>
    <w:rsid w:val="00B6256A"/>
    <w:rsid w:val="00B70870"/>
    <w:rsid w:val="00B73216"/>
    <w:rsid w:val="00B740FB"/>
    <w:rsid w:val="00B7618B"/>
    <w:rsid w:val="00BB3236"/>
    <w:rsid w:val="00BE3863"/>
    <w:rsid w:val="00BE474A"/>
    <w:rsid w:val="00C23DAC"/>
    <w:rsid w:val="00C329EC"/>
    <w:rsid w:val="00C3545B"/>
    <w:rsid w:val="00C4046B"/>
    <w:rsid w:val="00C54EAF"/>
    <w:rsid w:val="00C7060D"/>
    <w:rsid w:val="00C965C0"/>
    <w:rsid w:val="00CA4B9B"/>
    <w:rsid w:val="00CA76FF"/>
    <w:rsid w:val="00CB57E9"/>
    <w:rsid w:val="00CD1DB1"/>
    <w:rsid w:val="00CE14B0"/>
    <w:rsid w:val="00CE4EA6"/>
    <w:rsid w:val="00D127C0"/>
    <w:rsid w:val="00D313DD"/>
    <w:rsid w:val="00D318CC"/>
    <w:rsid w:val="00D414C1"/>
    <w:rsid w:val="00D6703B"/>
    <w:rsid w:val="00D70BB0"/>
    <w:rsid w:val="00D777BD"/>
    <w:rsid w:val="00D9578A"/>
    <w:rsid w:val="00D9736B"/>
    <w:rsid w:val="00DB5DA4"/>
    <w:rsid w:val="00DD06DF"/>
    <w:rsid w:val="00DE4116"/>
    <w:rsid w:val="00DE728F"/>
    <w:rsid w:val="00DF7BF0"/>
    <w:rsid w:val="00E04B45"/>
    <w:rsid w:val="00E125FC"/>
    <w:rsid w:val="00E166BC"/>
    <w:rsid w:val="00E3271B"/>
    <w:rsid w:val="00E33533"/>
    <w:rsid w:val="00E36700"/>
    <w:rsid w:val="00E47A3D"/>
    <w:rsid w:val="00E527E5"/>
    <w:rsid w:val="00E61C31"/>
    <w:rsid w:val="00E65E21"/>
    <w:rsid w:val="00E715C0"/>
    <w:rsid w:val="00E81C52"/>
    <w:rsid w:val="00E90A6B"/>
    <w:rsid w:val="00EA14F7"/>
    <w:rsid w:val="00EA7ADC"/>
    <w:rsid w:val="00EB4A1D"/>
    <w:rsid w:val="00ED7D87"/>
    <w:rsid w:val="00EE0375"/>
    <w:rsid w:val="00EF6084"/>
    <w:rsid w:val="00F01AFF"/>
    <w:rsid w:val="00F0402B"/>
    <w:rsid w:val="00F22701"/>
    <w:rsid w:val="00F353AE"/>
    <w:rsid w:val="00F35F48"/>
    <w:rsid w:val="00F43687"/>
    <w:rsid w:val="00F43E6C"/>
    <w:rsid w:val="00F8384B"/>
    <w:rsid w:val="00F846DD"/>
    <w:rsid w:val="00F92DCB"/>
    <w:rsid w:val="00F93DA0"/>
    <w:rsid w:val="00F95337"/>
    <w:rsid w:val="00FA532D"/>
    <w:rsid w:val="00FC4C03"/>
    <w:rsid w:val="00FC7790"/>
    <w:rsid w:val="00FD5D24"/>
    <w:rsid w:val="00FD677B"/>
    <w:rsid w:val="00FE086C"/>
    <w:rsid w:val="00FE1227"/>
    <w:rsid w:val="00FF5BE1"/>
    <w:rsid w:val="00FF7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5D8"/>
    <w:pPr>
      <w:spacing w:after="0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0305D8"/>
  </w:style>
  <w:style w:type="character" w:styleId="Hyperlink">
    <w:name w:val="Hyperlink"/>
    <w:basedOn w:val="DefaultParagraphFont"/>
    <w:uiPriority w:val="99"/>
    <w:unhideWhenUsed/>
    <w:rsid w:val="002508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8D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6770D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755B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755B8"/>
    <w:rPr>
      <w:rFonts w:ascii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755B8"/>
    <w:rPr>
      <w:vertAlign w:val="superscript"/>
    </w:rPr>
  </w:style>
  <w:style w:type="paragraph" w:customStyle="1" w:styleId="Default">
    <w:name w:val="Default"/>
    <w:rsid w:val="00097C9C"/>
    <w:pPr>
      <w:autoSpaceDE w:val="0"/>
      <w:autoSpaceDN w:val="0"/>
      <w:adjustRightInd w:val="0"/>
      <w:spacing w:after="0"/>
    </w:pPr>
    <w:rPr>
      <w:rFonts w:ascii="Segoe UI" w:hAnsi="Segoe UI" w:cs="Segoe UI"/>
      <w:color w:val="000000"/>
    </w:rPr>
  </w:style>
  <w:style w:type="character" w:customStyle="1" w:styleId="A6">
    <w:name w:val="A6"/>
    <w:uiPriority w:val="99"/>
    <w:rsid w:val="00097C9C"/>
    <w:rPr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57341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0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2.gnb.ca/content/dam/gnb/Departments/ohr-brh/pdf/pensions/pension_plans/pssa/PSSRP_Bookle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1B4A0-DEA4-47D5-91B5-701E77CA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Daily</cp:lastModifiedBy>
  <cp:revision>25</cp:revision>
  <dcterms:created xsi:type="dcterms:W3CDTF">2014-07-20T23:03:00Z</dcterms:created>
  <dcterms:modified xsi:type="dcterms:W3CDTF">2014-07-24T21:04:00Z</dcterms:modified>
</cp:coreProperties>
</file>