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5D8" w:rsidRPr="00187ECE" w:rsidRDefault="00187ECE" w:rsidP="00187ECE">
      <w:pPr>
        <w:jc w:val="center"/>
        <w:rPr>
          <w:b/>
          <w:sz w:val="24"/>
        </w:rPr>
      </w:pPr>
      <w:r w:rsidRPr="00187ECE">
        <w:rPr>
          <w:b/>
          <w:sz w:val="24"/>
        </w:rPr>
        <w:t>Goal Development</w:t>
      </w:r>
    </w:p>
    <w:p w:rsidR="00187ECE" w:rsidRDefault="00187ECE" w:rsidP="00187ECE">
      <w:pPr>
        <w:jc w:val="center"/>
        <w:rPr>
          <w:b/>
          <w:sz w:val="24"/>
        </w:rPr>
      </w:pPr>
      <w:r w:rsidRPr="00187ECE">
        <w:rPr>
          <w:b/>
          <w:sz w:val="24"/>
        </w:rPr>
        <w:t>City of Burlington Retirement Committee</w:t>
      </w:r>
    </w:p>
    <w:p w:rsidR="003F007B" w:rsidRDefault="003F007B" w:rsidP="00187ECE">
      <w:pPr>
        <w:jc w:val="center"/>
        <w:rPr>
          <w:b/>
          <w:sz w:val="24"/>
        </w:rPr>
      </w:pPr>
      <w:r>
        <w:rPr>
          <w:b/>
          <w:sz w:val="24"/>
        </w:rPr>
        <w:t xml:space="preserve">Prepared by Keith </w:t>
      </w:r>
      <w:proofErr w:type="spellStart"/>
      <w:r>
        <w:rPr>
          <w:b/>
          <w:sz w:val="24"/>
        </w:rPr>
        <w:t>Brainard</w:t>
      </w:r>
      <w:proofErr w:type="spellEnd"/>
    </w:p>
    <w:p w:rsidR="009562F6" w:rsidRPr="00187ECE" w:rsidRDefault="009562F6" w:rsidP="00187ECE">
      <w:pPr>
        <w:jc w:val="center"/>
        <w:rPr>
          <w:b/>
          <w:sz w:val="24"/>
        </w:rPr>
      </w:pPr>
      <w:r>
        <w:rPr>
          <w:b/>
          <w:sz w:val="24"/>
        </w:rPr>
        <w:t>July 2014</w:t>
      </w:r>
    </w:p>
    <w:p w:rsidR="00187ECE" w:rsidRDefault="00187ECE" w:rsidP="00187ECE">
      <w:pPr>
        <w:jc w:val="center"/>
      </w:pPr>
    </w:p>
    <w:p w:rsidR="00187ECE" w:rsidRDefault="00187ECE" w:rsidP="00187ECE"/>
    <w:p w:rsidR="00187ECE" w:rsidRPr="001A35B8" w:rsidRDefault="00187ECE" w:rsidP="00187ECE">
      <w:pPr>
        <w:rPr>
          <w:b/>
          <w:sz w:val="24"/>
          <w:szCs w:val="24"/>
        </w:rPr>
      </w:pPr>
      <w:r w:rsidRPr="001A35B8">
        <w:rPr>
          <w:b/>
          <w:sz w:val="24"/>
          <w:szCs w:val="24"/>
        </w:rPr>
        <w:t xml:space="preserve">Goal: </w:t>
      </w:r>
      <w:r w:rsidR="009562F6">
        <w:rPr>
          <w:b/>
          <w:sz w:val="24"/>
          <w:szCs w:val="24"/>
        </w:rPr>
        <w:t>Recruit and retain staff by having a good system</w:t>
      </w:r>
    </w:p>
    <w:p w:rsidR="00A9667E" w:rsidRDefault="00A9667E" w:rsidP="00187ECE">
      <w:pPr>
        <w:rPr>
          <w:b/>
        </w:rPr>
      </w:pPr>
    </w:p>
    <w:p w:rsidR="00187ECE" w:rsidRDefault="00187ECE" w:rsidP="00187ECE">
      <w:pPr>
        <w:rPr>
          <w:b/>
        </w:rPr>
      </w:pPr>
      <w:r w:rsidRPr="00187ECE">
        <w:rPr>
          <w:b/>
        </w:rPr>
        <w:t>Discussion</w:t>
      </w:r>
    </w:p>
    <w:p w:rsidR="00A82806" w:rsidRDefault="009562F6" w:rsidP="007E2E25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FA532D">
        <w:rPr>
          <w:sz w:val="24"/>
          <w:szCs w:val="24"/>
        </w:rPr>
        <w:t xml:space="preserve">retirement benefit </w:t>
      </w:r>
      <w:r w:rsidR="00D9790D">
        <w:rPr>
          <w:sz w:val="24"/>
          <w:szCs w:val="24"/>
        </w:rPr>
        <w:t>traditionally has</w:t>
      </w:r>
      <w:r w:rsidR="00530BF3">
        <w:rPr>
          <w:sz w:val="24"/>
          <w:szCs w:val="24"/>
        </w:rPr>
        <w:t xml:space="preserve"> </w:t>
      </w:r>
      <w:r w:rsidR="00FA532D">
        <w:rPr>
          <w:sz w:val="24"/>
          <w:szCs w:val="24"/>
        </w:rPr>
        <w:t xml:space="preserve">been a </w:t>
      </w:r>
      <w:r>
        <w:rPr>
          <w:sz w:val="24"/>
          <w:szCs w:val="24"/>
        </w:rPr>
        <w:t xml:space="preserve">key feature of </w:t>
      </w:r>
      <w:r w:rsidR="00B73216">
        <w:rPr>
          <w:sz w:val="24"/>
          <w:szCs w:val="24"/>
        </w:rPr>
        <w:t xml:space="preserve">most </w:t>
      </w:r>
      <w:r>
        <w:rPr>
          <w:sz w:val="24"/>
          <w:szCs w:val="24"/>
        </w:rPr>
        <w:t>employer compensation packages in the U.S.</w:t>
      </w:r>
      <w:r w:rsidR="00D318CC">
        <w:rPr>
          <w:sz w:val="24"/>
          <w:szCs w:val="24"/>
        </w:rPr>
        <w:t xml:space="preserve"> This is especially true among public employers. The overarching purpose for </w:t>
      </w:r>
      <w:r w:rsidR="00A82806">
        <w:rPr>
          <w:sz w:val="24"/>
          <w:szCs w:val="24"/>
        </w:rPr>
        <w:t xml:space="preserve">sponsoring a </w:t>
      </w:r>
      <w:r w:rsidR="00D318CC">
        <w:rPr>
          <w:sz w:val="24"/>
          <w:szCs w:val="24"/>
        </w:rPr>
        <w:t xml:space="preserve">retirement benefit </w:t>
      </w:r>
      <w:r w:rsidR="00DB5DA4">
        <w:rPr>
          <w:sz w:val="24"/>
          <w:szCs w:val="24"/>
        </w:rPr>
        <w:t xml:space="preserve">is </w:t>
      </w:r>
      <w:r w:rsidR="00B73216">
        <w:rPr>
          <w:sz w:val="24"/>
          <w:szCs w:val="24"/>
        </w:rPr>
        <w:t>to provide income security</w:t>
      </w:r>
      <w:r w:rsidR="00DB5DA4">
        <w:rPr>
          <w:sz w:val="24"/>
          <w:szCs w:val="24"/>
        </w:rPr>
        <w:t xml:space="preserve"> in retirement</w:t>
      </w:r>
      <w:r w:rsidR="00181E2F">
        <w:rPr>
          <w:sz w:val="24"/>
          <w:szCs w:val="24"/>
        </w:rPr>
        <w:t>, although an employer-sponsored retirement plan often is intended to also meet other stakeholder objectives, such as to enhance the employer’s ability to attract and qualified workers</w:t>
      </w:r>
      <w:r w:rsidR="00DB5DA4">
        <w:rPr>
          <w:sz w:val="24"/>
          <w:szCs w:val="24"/>
        </w:rPr>
        <w:t>.</w:t>
      </w:r>
    </w:p>
    <w:p w:rsidR="00A82806" w:rsidRDefault="00A82806" w:rsidP="007E2E25">
      <w:pPr>
        <w:rPr>
          <w:sz w:val="24"/>
          <w:szCs w:val="24"/>
        </w:rPr>
      </w:pPr>
    </w:p>
    <w:p w:rsidR="00A82806" w:rsidRDefault="00D9790D" w:rsidP="00A82806">
      <w:pPr>
        <w:rPr>
          <w:sz w:val="24"/>
          <w:szCs w:val="24"/>
        </w:rPr>
      </w:pPr>
      <w:r>
        <w:rPr>
          <w:sz w:val="24"/>
          <w:szCs w:val="24"/>
        </w:rPr>
        <w:t>A retirement benefit, and usually a defined benefit plan, generally is associated with p</w:t>
      </w:r>
      <w:r w:rsidR="00A82806">
        <w:rPr>
          <w:sz w:val="24"/>
          <w:szCs w:val="24"/>
        </w:rPr>
        <w:t>ublic employment. According to the U.S. Bureau of Labor Statistics, virtually all employees of state and local government have access to an employer-sponsored retirement plan.</w:t>
      </w:r>
      <w:r>
        <w:rPr>
          <w:rStyle w:val="EndnoteReference"/>
          <w:sz w:val="24"/>
          <w:szCs w:val="24"/>
        </w:rPr>
        <w:endnoteReference w:id="1"/>
      </w:r>
      <w:r w:rsidR="00A82806">
        <w:rPr>
          <w:sz w:val="24"/>
          <w:szCs w:val="24"/>
        </w:rPr>
        <w:t xml:space="preserve"> Since most public workers are required to participate in their employer-sponsored plan, the total participation rate </w:t>
      </w:r>
      <w:r w:rsidR="00530BF3">
        <w:rPr>
          <w:sz w:val="24"/>
          <w:szCs w:val="24"/>
        </w:rPr>
        <w:t xml:space="preserve">of </w:t>
      </w:r>
      <w:r w:rsidR="00D50658">
        <w:rPr>
          <w:sz w:val="24"/>
          <w:szCs w:val="24"/>
        </w:rPr>
        <w:t xml:space="preserve">full-time </w:t>
      </w:r>
      <w:r w:rsidR="00530BF3">
        <w:rPr>
          <w:sz w:val="24"/>
          <w:szCs w:val="24"/>
        </w:rPr>
        <w:t xml:space="preserve">public employees </w:t>
      </w:r>
      <w:r w:rsidR="00A82806">
        <w:rPr>
          <w:sz w:val="24"/>
          <w:szCs w:val="24"/>
        </w:rPr>
        <w:t xml:space="preserve">is around 95 </w:t>
      </w:r>
      <w:proofErr w:type="gramStart"/>
      <w:r w:rsidR="00A82806">
        <w:rPr>
          <w:sz w:val="24"/>
          <w:szCs w:val="24"/>
        </w:rPr>
        <w:t>percent</w:t>
      </w:r>
      <w:r w:rsidR="00694793">
        <w:rPr>
          <w:sz w:val="24"/>
          <w:szCs w:val="24"/>
        </w:rPr>
        <w:t>,</w:t>
      </w:r>
      <w:proofErr w:type="gramEnd"/>
      <w:r w:rsidR="00694793">
        <w:rPr>
          <w:sz w:val="24"/>
          <w:szCs w:val="24"/>
        </w:rPr>
        <w:t xml:space="preserve"> and</w:t>
      </w:r>
      <w:r w:rsidR="00530BF3">
        <w:rPr>
          <w:sz w:val="24"/>
          <w:szCs w:val="24"/>
        </w:rPr>
        <w:t xml:space="preserve"> </w:t>
      </w:r>
      <w:r w:rsidR="00D50658">
        <w:rPr>
          <w:sz w:val="24"/>
          <w:szCs w:val="24"/>
        </w:rPr>
        <w:t xml:space="preserve">85 percent when part-time workers are included. </w:t>
      </w:r>
      <w:r w:rsidR="00A82806">
        <w:rPr>
          <w:sz w:val="24"/>
          <w:szCs w:val="24"/>
        </w:rPr>
        <w:t xml:space="preserve">Moreover, the prevailing retirement </w:t>
      </w:r>
      <w:r w:rsidR="00530BF3">
        <w:rPr>
          <w:sz w:val="24"/>
          <w:szCs w:val="24"/>
        </w:rPr>
        <w:t xml:space="preserve">benefit </w:t>
      </w:r>
      <w:r w:rsidR="00A82806">
        <w:rPr>
          <w:sz w:val="24"/>
          <w:szCs w:val="24"/>
        </w:rPr>
        <w:t>among state and local government workers is a pension plan, also known as a defined benefit plan.</w:t>
      </w:r>
    </w:p>
    <w:p w:rsidR="00A82806" w:rsidRDefault="00A82806" w:rsidP="00A82806">
      <w:pPr>
        <w:rPr>
          <w:sz w:val="24"/>
          <w:szCs w:val="24"/>
        </w:rPr>
      </w:pPr>
    </w:p>
    <w:p w:rsidR="00DB5DA4" w:rsidRDefault="00A82806" w:rsidP="007E2E25">
      <w:pPr>
        <w:rPr>
          <w:sz w:val="24"/>
          <w:szCs w:val="24"/>
        </w:rPr>
      </w:pPr>
      <w:r>
        <w:rPr>
          <w:sz w:val="24"/>
          <w:szCs w:val="24"/>
        </w:rPr>
        <w:t xml:space="preserve">The high rate of participation and the </w:t>
      </w:r>
      <w:r w:rsidR="001558B5">
        <w:rPr>
          <w:sz w:val="24"/>
          <w:szCs w:val="24"/>
        </w:rPr>
        <w:t>expansive</w:t>
      </w:r>
      <w:r>
        <w:rPr>
          <w:sz w:val="24"/>
          <w:szCs w:val="24"/>
        </w:rPr>
        <w:t xml:space="preserve"> use of pension plans among states and local governments contrast </w:t>
      </w:r>
      <w:r w:rsidR="00530BF3">
        <w:rPr>
          <w:sz w:val="24"/>
          <w:szCs w:val="24"/>
        </w:rPr>
        <w:t>with</w:t>
      </w:r>
      <w:r>
        <w:rPr>
          <w:sz w:val="24"/>
          <w:szCs w:val="24"/>
        </w:rPr>
        <w:t xml:space="preserve"> the private sector, where </w:t>
      </w:r>
      <w:r w:rsidR="001558B5">
        <w:rPr>
          <w:sz w:val="24"/>
          <w:szCs w:val="24"/>
        </w:rPr>
        <w:t xml:space="preserve">only </w:t>
      </w:r>
      <w:r w:rsidR="00DB5DA4">
        <w:rPr>
          <w:sz w:val="24"/>
          <w:szCs w:val="24"/>
        </w:rPr>
        <w:t>about two-thirds of the civilian workforce in the U.S. has access to an employer-sponsored retirement benefit.</w:t>
      </w:r>
      <w:r w:rsidR="00D50658">
        <w:rPr>
          <w:rStyle w:val="EndnoteReference"/>
          <w:sz w:val="24"/>
          <w:szCs w:val="24"/>
        </w:rPr>
        <w:endnoteReference w:id="2"/>
      </w:r>
      <w:r w:rsidR="00DB5DA4">
        <w:rPr>
          <w:sz w:val="24"/>
          <w:szCs w:val="24"/>
        </w:rPr>
        <w:t xml:space="preserve"> </w:t>
      </w:r>
      <w:r w:rsidR="00D318CC">
        <w:rPr>
          <w:sz w:val="24"/>
          <w:szCs w:val="24"/>
        </w:rPr>
        <w:t>No</w:t>
      </w:r>
      <w:r w:rsidR="00DB5DA4">
        <w:rPr>
          <w:sz w:val="24"/>
          <w:szCs w:val="24"/>
        </w:rPr>
        <w:t>t all workers elect to participate in their employer-sponsored plan</w:t>
      </w:r>
      <w:r w:rsidR="00D318CC">
        <w:rPr>
          <w:sz w:val="24"/>
          <w:szCs w:val="24"/>
        </w:rPr>
        <w:t xml:space="preserve">: </w:t>
      </w:r>
      <w:r w:rsidR="001558B5">
        <w:rPr>
          <w:sz w:val="24"/>
          <w:szCs w:val="24"/>
        </w:rPr>
        <w:t xml:space="preserve">all counted, </w:t>
      </w:r>
      <w:r w:rsidR="00DB5DA4">
        <w:rPr>
          <w:sz w:val="24"/>
          <w:szCs w:val="24"/>
        </w:rPr>
        <w:t>just over one-half of the nation’s workforce</w:t>
      </w:r>
      <w:r w:rsidR="00530BF3">
        <w:rPr>
          <w:sz w:val="24"/>
          <w:szCs w:val="24"/>
        </w:rPr>
        <w:t>, including part-time employees,</w:t>
      </w:r>
      <w:r w:rsidR="00DB5DA4">
        <w:rPr>
          <w:sz w:val="24"/>
          <w:szCs w:val="24"/>
        </w:rPr>
        <w:t xml:space="preserve"> </w:t>
      </w:r>
      <w:r w:rsidR="00530BF3">
        <w:rPr>
          <w:sz w:val="24"/>
          <w:szCs w:val="24"/>
        </w:rPr>
        <w:t xml:space="preserve">actually </w:t>
      </w:r>
      <w:r w:rsidR="00DB5DA4">
        <w:rPr>
          <w:sz w:val="24"/>
          <w:szCs w:val="24"/>
        </w:rPr>
        <w:t>participate in an employer-sponsored plan.</w:t>
      </w:r>
    </w:p>
    <w:p w:rsidR="00DB5DA4" w:rsidRDefault="00DB5DA4" w:rsidP="007E2E25">
      <w:pPr>
        <w:rPr>
          <w:sz w:val="24"/>
          <w:szCs w:val="24"/>
        </w:rPr>
      </w:pPr>
    </w:p>
    <w:p w:rsidR="000C79C2" w:rsidRDefault="000C79C2" w:rsidP="000C79C2">
      <w:pPr>
        <w:rPr>
          <w:sz w:val="24"/>
          <w:szCs w:val="24"/>
        </w:rPr>
      </w:pPr>
      <w:r>
        <w:rPr>
          <w:sz w:val="24"/>
          <w:szCs w:val="24"/>
        </w:rPr>
        <w:t xml:space="preserve">Since the 1970s, when participation in private sector pension plans peaked at </w:t>
      </w:r>
      <w:r w:rsidR="00D50658">
        <w:rPr>
          <w:sz w:val="24"/>
          <w:szCs w:val="24"/>
        </w:rPr>
        <w:t>some 44 percent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the nation’s workforce, coverage in a defined benefit plan has declined steadily.</w:t>
      </w:r>
      <w:r w:rsidR="00D50658">
        <w:rPr>
          <w:rStyle w:val="EndnoteReference"/>
          <w:sz w:val="24"/>
          <w:szCs w:val="24"/>
        </w:rPr>
        <w:endnoteReference w:id="3"/>
      </w:r>
      <w:r>
        <w:rPr>
          <w:sz w:val="24"/>
          <w:szCs w:val="24"/>
        </w:rPr>
        <w:t xml:space="preserve"> Today, </w:t>
      </w:r>
      <w:r w:rsidR="00B805E6">
        <w:rPr>
          <w:sz w:val="24"/>
          <w:szCs w:val="24"/>
        </w:rPr>
        <w:t xml:space="preserve">around </w:t>
      </w:r>
      <w:r>
        <w:rPr>
          <w:sz w:val="24"/>
          <w:szCs w:val="24"/>
        </w:rPr>
        <w:t xml:space="preserve">than one in five employees in the private sector </w:t>
      </w:r>
      <w:proofErr w:type="gramStart"/>
      <w:r>
        <w:rPr>
          <w:sz w:val="24"/>
          <w:szCs w:val="24"/>
        </w:rPr>
        <w:t>participate</w:t>
      </w:r>
      <w:proofErr w:type="gramEnd"/>
      <w:r>
        <w:rPr>
          <w:sz w:val="24"/>
          <w:szCs w:val="24"/>
        </w:rPr>
        <w:t xml:space="preserve"> in </w:t>
      </w:r>
      <w:r w:rsidR="00A82806">
        <w:rPr>
          <w:sz w:val="24"/>
          <w:szCs w:val="24"/>
        </w:rPr>
        <w:t xml:space="preserve">a </w:t>
      </w:r>
      <w:r>
        <w:rPr>
          <w:sz w:val="24"/>
          <w:szCs w:val="24"/>
        </w:rPr>
        <w:t>defined benefit plan</w:t>
      </w:r>
      <w:r w:rsidR="00972240">
        <w:rPr>
          <w:sz w:val="24"/>
          <w:szCs w:val="24"/>
        </w:rPr>
        <w:t>,</w:t>
      </w:r>
      <w:r w:rsidR="00B805E6">
        <w:rPr>
          <w:rStyle w:val="EndnoteReference"/>
          <w:sz w:val="24"/>
          <w:szCs w:val="24"/>
        </w:rPr>
        <w:endnoteReference w:id="4"/>
      </w:r>
      <w:r w:rsidR="00972240">
        <w:rPr>
          <w:sz w:val="24"/>
          <w:szCs w:val="24"/>
        </w:rPr>
        <w:t xml:space="preserve"> and o</w:t>
      </w:r>
      <w:r>
        <w:rPr>
          <w:sz w:val="24"/>
          <w:szCs w:val="24"/>
        </w:rPr>
        <w:t>f the DB plans still in existence, many are closed to new hires.</w:t>
      </w:r>
    </w:p>
    <w:p w:rsidR="000C79C2" w:rsidRDefault="000C79C2" w:rsidP="000C79C2">
      <w:pPr>
        <w:rPr>
          <w:sz w:val="24"/>
          <w:szCs w:val="24"/>
        </w:rPr>
      </w:pPr>
    </w:p>
    <w:p w:rsidR="00D009A4" w:rsidRDefault="003B1C3A" w:rsidP="000C79C2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D009A4">
        <w:rPr>
          <w:sz w:val="24"/>
          <w:szCs w:val="24"/>
        </w:rPr>
        <w:t>any public sector positions are</w:t>
      </w:r>
      <w:r w:rsidR="001558B5">
        <w:rPr>
          <w:sz w:val="24"/>
          <w:szCs w:val="24"/>
        </w:rPr>
        <w:t>, in or more ways,</w:t>
      </w:r>
      <w:r w:rsidR="00D009A4">
        <w:rPr>
          <w:sz w:val="24"/>
          <w:szCs w:val="24"/>
        </w:rPr>
        <w:t xml:space="preserve"> unusual or unique. </w:t>
      </w:r>
      <w:r w:rsidR="001558B5">
        <w:rPr>
          <w:sz w:val="24"/>
          <w:szCs w:val="24"/>
        </w:rPr>
        <w:t xml:space="preserve">The public sector contains a larger percentage of professional positions, requiring </w:t>
      </w:r>
      <w:proofErr w:type="gramStart"/>
      <w:r w:rsidR="001558B5">
        <w:rPr>
          <w:sz w:val="24"/>
          <w:szCs w:val="24"/>
        </w:rPr>
        <w:t>either higher</w:t>
      </w:r>
      <w:proofErr w:type="gramEnd"/>
      <w:r w:rsidR="001558B5">
        <w:rPr>
          <w:sz w:val="24"/>
          <w:szCs w:val="24"/>
        </w:rPr>
        <w:t xml:space="preserve"> education, specialized training, or a professional certification. Pu</w:t>
      </w:r>
      <w:r w:rsidR="00D009A4">
        <w:rPr>
          <w:sz w:val="24"/>
          <w:szCs w:val="24"/>
        </w:rPr>
        <w:t xml:space="preserve">blic safety positions often involve physical risk; and most public sector positions traditionally have had a career orientation. </w:t>
      </w:r>
      <w:r w:rsidR="00B466D4">
        <w:rPr>
          <w:sz w:val="24"/>
          <w:szCs w:val="24"/>
        </w:rPr>
        <w:t xml:space="preserve">Combined with pay that in many cases is </w:t>
      </w:r>
      <w:r w:rsidR="001558B5">
        <w:rPr>
          <w:sz w:val="24"/>
          <w:szCs w:val="24"/>
        </w:rPr>
        <w:t xml:space="preserve">below that of or </w:t>
      </w:r>
      <w:r w:rsidR="00B466D4">
        <w:rPr>
          <w:sz w:val="24"/>
          <w:szCs w:val="24"/>
        </w:rPr>
        <w:t xml:space="preserve">marginally competitive with the private sector, the value of a sound retirement benefit </w:t>
      </w:r>
      <w:r w:rsidR="001558B5">
        <w:rPr>
          <w:sz w:val="24"/>
          <w:szCs w:val="24"/>
        </w:rPr>
        <w:t>in</w:t>
      </w:r>
      <w:r w:rsidR="00B466D4">
        <w:rPr>
          <w:sz w:val="24"/>
          <w:szCs w:val="24"/>
        </w:rPr>
        <w:t xml:space="preserve"> public</w:t>
      </w:r>
      <w:r>
        <w:rPr>
          <w:sz w:val="24"/>
          <w:szCs w:val="24"/>
        </w:rPr>
        <w:t xml:space="preserve"> employment often takes on greater importance.</w:t>
      </w:r>
    </w:p>
    <w:p w:rsidR="003B1C3A" w:rsidRDefault="003B1C3A" w:rsidP="000C79C2">
      <w:pPr>
        <w:rPr>
          <w:sz w:val="24"/>
          <w:szCs w:val="24"/>
        </w:rPr>
      </w:pPr>
    </w:p>
    <w:p w:rsidR="003B1C3A" w:rsidRDefault="001B6183" w:rsidP="000C79C2">
      <w:pPr>
        <w:rPr>
          <w:sz w:val="24"/>
          <w:szCs w:val="24"/>
        </w:rPr>
      </w:pPr>
      <w:r>
        <w:rPr>
          <w:sz w:val="24"/>
          <w:szCs w:val="24"/>
        </w:rPr>
        <w:t xml:space="preserve">A retirement benefit that encourages longevity can align the interests of </w:t>
      </w:r>
      <w:r w:rsidR="005857B4">
        <w:rPr>
          <w:sz w:val="24"/>
          <w:szCs w:val="24"/>
        </w:rPr>
        <w:t xml:space="preserve">public </w:t>
      </w:r>
      <w:r>
        <w:rPr>
          <w:sz w:val="24"/>
          <w:szCs w:val="24"/>
        </w:rPr>
        <w:t xml:space="preserve">employers, taxpayers and employees; </w:t>
      </w:r>
      <w:r w:rsidR="003B1C3A">
        <w:rPr>
          <w:sz w:val="24"/>
          <w:szCs w:val="24"/>
        </w:rPr>
        <w:t>pension plan</w:t>
      </w:r>
      <w:r>
        <w:rPr>
          <w:sz w:val="24"/>
          <w:szCs w:val="24"/>
        </w:rPr>
        <w:t>s</w:t>
      </w:r>
      <w:r w:rsidR="003B1C3A">
        <w:rPr>
          <w:sz w:val="24"/>
          <w:szCs w:val="24"/>
        </w:rPr>
        <w:t xml:space="preserve"> typically </w:t>
      </w:r>
      <w:r>
        <w:rPr>
          <w:sz w:val="24"/>
          <w:szCs w:val="24"/>
        </w:rPr>
        <w:t>are</w:t>
      </w:r>
      <w:r w:rsidR="003B1C3A">
        <w:rPr>
          <w:sz w:val="24"/>
          <w:szCs w:val="24"/>
        </w:rPr>
        <w:t xml:space="preserve"> designed to reward longevity of service, </w:t>
      </w:r>
      <w:r>
        <w:rPr>
          <w:sz w:val="24"/>
          <w:szCs w:val="24"/>
        </w:rPr>
        <w:t xml:space="preserve">an objective that </w:t>
      </w:r>
      <w:r w:rsidR="003B1C3A">
        <w:rPr>
          <w:sz w:val="24"/>
          <w:szCs w:val="24"/>
        </w:rPr>
        <w:t>comports with the long-term or career orientation of many public sector positions.</w:t>
      </w:r>
    </w:p>
    <w:p w:rsidR="00CB4E94" w:rsidRDefault="00CB4E94" w:rsidP="007E2E25">
      <w:pPr>
        <w:rPr>
          <w:sz w:val="24"/>
          <w:szCs w:val="24"/>
        </w:rPr>
      </w:pPr>
    </w:p>
    <w:p w:rsidR="003B1C3A" w:rsidRDefault="001558B5" w:rsidP="007E2E2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Of course, </w:t>
      </w:r>
      <w:r w:rsidR="003B1C3A">
        <w:rPr>
          <w:sz w:val="24"/>
          <w:szCs w:val="24"/>
        </w:rPr>
        <w:t>employer</w:t>
      </w:r>
      <w:r>
        <w:rPr>
          <w:sz w:val="24"/>
          <w:szCs w:val="24"/>
        </w:rPr>
        <w:t>s</w:t>
      </w:r>
      <w:r w:rsidR="003B1C3A">
        <w:rPr>
          <w:sz w:val="24"/>
          <w:szCs w:val="24"/>
        </w:rPr>
        <w:t xml:space="preserve"> that sponsor a retirement plan should take measures to ensure that the benefit promises being made can be fulfilled. A retirement plan whose cost becomes untenable or unsustainable </w:t>
      </w:r>
      <w:r w:rsidR="0085326C">
        <w:rPr>
          <w:sz w:val="24"/>
          <w:szCs w:val="24"/>
        </w:rPr>
        <w:t xml:space="preserve">imperil </w:t>
      </w:r>
      <w:r>
        <w:rPr>
          <w:sz w:val="24"/>
          <w:szCs w:val="24"/>
        </w:rPr>
        <w:t>the employer’s ability to honor it</w:t>
      </w:r>
      <w:r w:rsidR="0085326C">
        <w:rPr>
          <w:sz w:val="24"/>
          <w:szCs w:val="24"/>
        </w:rPr>
        <w:t>s</w:t>
      </w:r>
      <w:r>
        <w:rPr>
          <w:sz w:val="24"/>
          <w:szCs w:val="24"/>
        </w:rPr>
        <w:t xml:space="preserve"> retirement benefit promises, </w:t>
      </w:r>
      <w:r w:rsidR="003B1C3A">
        <w:rPr>
          <w:sz w:val="24"/>
          <w:szCs w:val="24"/>
        </w:rPr>
        <w:t>to deliver essential public services</w:t>
      </w:r>
      <w:r w:rsidR="0085326C">
        <w:rPr>
          <w:sz w:val="24"/>
          <w:szCs w:val="24"/>
        </w:rPr>
        <w:t>,</w:t>
      </w:r>
      <w:r w:rsidR="003B1C3A">
        <w:rPr>
          <w:sz w:val="24"/>
          <w:szCs w:val="24"/>
        </w:rPr>
        <w:t xml:space="preserve"> and to attract and qualified workers. </w:t>
      </w:r>
      <w:r w:rsidR="0085326C">
        <w:rPr>
          <w:sz w:val="24"/>
          <w:szCs w:val="24"/>
        </w:rPr>
        <w:t>Thus, maintaining a plan’s sustainability is vital to the ability of public employers to serve the public.</w:t>
      </w:r>
    </w:p>
    <w:p w:rsidR="003B1C3A" w:rsidRDefault="003B1C3A" w:rsidP="007E2E25">
      <w:pPr>
        <w:rPr>
          <w:sz w:val="24"/>
          <w:szCs w:val="24"/>
        </w:rPr>
      </w:pPr>
    </w:p>
    <w:p w:rsidR="00CB4E94" w:rsidRDefault="00CB4E94" w:rsidP="007E2E25">
      <w:pPr>
        <w:rPr>
          <w:sz w:val="24"/>
          <w:szCs w:val="24"/>
        </w:rPr>
      </w:pPr>
      <w:r w:rsidRPr="003B1C3A">
        <w:rPr>
          <w:b/>
          <w:sz w:val="24"/>
          <w:szCs w:val="24"/>
        </w:rPr>
        <w:t>Goal</w:t>
      </w:r>
      <w:r>
        <w:rPr>
          <w:sz w:val="24"/>
          <w:szCs w:val="24"/>
        </w:rPr>
        <w:t>: Burlington should take measures ne</w:t>
      </w:r>
      <w:r w:rsidR="0085326C">
        <w:rPr>
          <w:sz w:val="24"/>
          <w:szCs w:val="24"/>
        </w:rPr>
        <w:t>eded</w:t>
      </w:r>
      <w:r>
        <w:rPr>
          <w:sz w:val="24"/>
          <w:szCs w:val="24"/>
        </w:rPr>
        <w:t xml:space="preserve"> to ensure that the retirement benefits it has promised </w:t>
      </w:r>
      <w:r w:rsidR="00676C07">
        <w:rPr>
          <w:sz w:val="24"/>
          <w:szCs w:val="24"/>
        </w:rPr>
        <w:t xml:space="preserve">to current workers </w:t>
      </w:r>
      <w:r>
        <w:rPr>
          <w:sz w:val="24"/>
          <w:szCs w:val="24"/>
        </w:rPr>
        <w:t>can be paid</w:t>
      </w:r>
      <w:r w:rsidR="00676C07">
        <w:rPr>
          <w:sz w:val="24"/>
          <w:szCs w:val="24"/>
        </w:rPr>
        <w:t>.</w:t>
      </w:r>
    </w:p>
    <w:p w:rsidR="00676C07" w:rsidRDefault="00676C07" w:rsidP="007E2E25">
      <w:pPr>
        <w:rPr>
          <w:sz w:val="24"/>
          <w:szCs w:val="24"/>
        </w:rPr>
      </w:pPr>
    </w:p>
    <w:p w:rsidR="008F5D05" w:rsidRDefault="00676C07" w:rsidP="0085326C">
      <w:pPr>
        <w:rPr>
          <w:sz w:val="24"/>
          <w:szCs w:val="24"/>
        </w:rPr>
      </w:pPr>
      <w:r w:rsidRPr="003B1C3A">
        <w:rPr>
          <w:b/>
          <w:sz w:val="24"/>
          <w:szCs w:val="24"/>
        </w:rPr>
        <w:t>Goal:</w:t>
      </w:r>
      <w:r>
        <w:rPr>
          <w:sz w:val="24"/>
          <w:szCs w:val="24"/>
        </w:rPr>
        <w:t xml:space="preserve"> Burlington should </w:t>
      </w:r>
      <w:r w:rsidR="0085326C">
        <w:rPr>
          <w:sz w:val="24"/>
          <w:szCs w:val="24"/>
        </w:rPr>
        <w:t xml:space="preserve">consider </w:t>
      </w:r>
      <w:r w:rsidR="003B1C3A">
        <w:rPr>
          <w:sz w:val="24"/>
          <w:szCs w:val="24"/>
        </w:rPr>
        <w:t>modify</w:t>
      </w:r>
      <w:r w:rsidR="0085326C">
        <w:rPr>
          <w:sz w:val="24"/>
          <w:szCs w:val="24"/>
        </w:rPr>
        <w:t>ing</w:t>
      </w:r>
      <w:r w:rsidR="003B1C3A">
        <w:rPr>
          <w:sz w:val="24"/>
          <w:szCs w:val="24"/>
        </w:rPr>
        <w:t xml:space="preserve"> its </w:t>
      </w:r>
      <w:r>
        <w:rPr>
          <w:sz w:val="24"/>
          <w:szCs w:val="24"/>
        </w:rPr>
        <w:t xml:space="preserve">retirement plan </w:t>
      </w:r>
      <w:r w:rsidR="003B1C3A">
        <w:rPr>
          <w:sz w:val="24"/>
          <w:szCs w:val="24"/>
        </w:rPr>
        <w:t xml:space="preserve">to ensure the city will be able to both continue to deliver </w:t>
      </w:r>
      <w:r w:rsidR="005857B4">
        <w:rPr>
          <w:sz w:val="24"/>
          <w:szCs w:val="24"/>
        </w:rPr>
        <w:t xml:space="preserve">essentially </w:t>
      </w:r>
      <w:r w:rsidR="003B1C3A">
        <w:rPr>
          <w:sz w:val="24"/>
          <w:szCs w:val="24"/>
        </w:rPr>
        <w:t xml:space="preserve">public services and to </w:t>
      </w:r>
      <w:r>
        <w:rPr>
          <w:sz w:val="24"/>
          <w:szCs w:val="24"/>
        </w:rPr>
        <w:t xml:space="preserve">attract and retain </w:t>
      </w:r>
      <w:r w:rsidR="003B1C3A">
        <w:rPr>
          <w:sz w:val="24"/>
          <w:szCs w:val="24"/>
        </w:rPr>
        <w:t xml:space="preserve">qualified </w:t>
      </w:r>
      <w:r>
        <w:rPr>
          <w:sz w:val="24"/>
          <w:szCs w:val="24"/>
        </w:rPr>
        <w:t>workers.</w:t>
      </w:r>
    </w:p>
    <w:p w:rsidR="00594BAE" w:rsidRDefault="00594BAE" w:rsidP="00F93DA0">
      <w:pPr>
        <w:rPr>
          <w:sz w:val="24"/>
          <w:szCs w:val="24"/>
        </w:rPr>
      </w:pPr>
    </w:p>
    <w:p w:rsidR="002F0CDF" w:rsidRDefault="002F0CDF" w:rsidP="00187ECE">
      <w:pPr>
        <w:rPr>
          <w:sz w:val="24"/>
          <w:szCs w:val="24"/>
        </w:rPr>
      </w:pPr>
    </w:p>
    <w:p w:rsidR="00F93DA0" w:rsidRDefault="00F93DA0" w:rsidP="00187ECE">
      <w:pPr>
        <w:rPr>
          <w:sz w:val="24"/>
          <w:szCs w:val="24"/>
        </w:rPr>
      </w:pPr>
    </w:p>
    <w:sectPr w:rsidR="00F93DA0" w:rsidSect="00D9578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4A5" w:rsidRDefault="000604A5" w:rsidP="003755B8">
      <w:r>
        <w:separator/>
      </w:r>
    </w:p>
  </w:endnote>
  <w:endnote w:type="continuationSeparator" w:id="0">
    <w:p w:rsidR="000604A5" w:rsidRDefault="000604A5" w:rsidP="003755B8">
      <w:r>
        <w:continuationSeparator/>
      </w:r>
    </w:p>
  </w:endnote>
  <w:endnote w:id="1">
    <w:p w:rsidR="00D9790D" w:rsidRDefault="00D9790D">
      <w:pPr>
        <w:pStyle w:val="EndnoteText"/>
      </w:pPr>
      <w:r>
        <w:rPr>
          <w:rStyle w:val="EndnoteReference"/>
        </w:rPr>
        <w:endnoteRef/>
      </w:r>
      <w:r>
        <w:t xml:space="preserve"> U.S. Bureau of Labor Statistics, Employee</w:t>
      </w:r>
      <w:r w:rsidR="00D50658">
        <w:t xml:space="preserve"> Benefits Survey,</w:t>
      </w:r>
      <w:r>
        <w:t xml:space="preserve"> </w:t>
      </w:r>
      <w:r w:rsidRPr="00D50658">
        <w:rPr>
          <w:rFonts w:asciiTheme="minorHAnsi" w:hAnsiTheme="minorHAnsi" w:cs="Arial"/>
        </w:rPr>
        <w:t>Retirement benefits: Access, participation, and take-up rates</w:t>
      </w:r>
      <w:r w:rsidR="00D50658">
        <w:rPr>
          <w:rFonts w:asciiTheme="minorHAnsi" w:hAnsiTheme="minorHAnsi" w:cs="Arial"/>
        </w:rPr>
        <w:t>, March 2013</w:t>
      </w:r>
    </w:p>
  </w:endnote>
  <w:endnote w:id="2">
    <w:p w:rsidR="00D50658" w:rsidRDefault="00D50658">
      <w:pPr>
        <w:pStyle w:val="EndnoteText"/>
      </w:pPr>
      <w:r>
        <w:rPr>
          <w:rStyle w:val="EndnoteReference"/>
        </w:rPr>
        <w:endnoteRef/>
      </w:r>
      <w:r>
        <w:t xml:space="preserve"> Ibid.</w:t>
      </w:r>
    </w:p>
  </w:endnote>
  <w:endnote w:id="3">
    <w:p w:rsidR="00D50658" w:rsidRDefault="00D50658">
      <w:pPr>
        <w:pStyle w:val="EndnoteText"/>
      </w:pPr>
      <w:r>
        <w:rPr>
          <w:rStyle w:val="EndnoteReference"/>
        </w:rPr>
        <w:endnoteRef/>
      </w:r>
      <w:r>
        <w:t xml:space="preserve"> Employee Benefits Research Institute, “The Decline of Private Sector Defined Benefit Promises and Annuity Payments: What Will It Mean?” EBRI Notes, July 2004</w:t>
      </w:r>
    </w:p>
  </w:endnote>
  <w:endnote w:id="4">
    <w:p w:rsidR="00B805E6" w:rsidRDefault="00B805E6" w:rsidP="00B805E6">
      <w:pPr>
        <w:autoSpaceDE w:val="0"/>
        <w:autoSpaceDN w:val="0"/>
        <w:adjustRightInd w:val="0"/>
      </w:pPr>
      <w:r>
        <w:rPr>
          <w:rStyle w:val="EndnoteReference"/>
        </w:rPr>
        <w:endnoteRef/>
      </w:r>
      <w:r>
        <w:t xml:space="preserve"> </w:t>
      </w:r>
      <w:r w:rsidRPr="00B805E6">
        <w:rPr>
          <w:rFonts w:asciiTheme="minorHAnsi" w:hAnsiTheme="minorHAnsi" w:cs="Arial"/>
          <w:bCs/>
          <w:sz w:val="20"/>
          <w:szCs w:val="20"/>
        </w:rPr>
        <w:t>National Compensation Survey: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B805E6">
        <w:rPr>
          <w:rFonts w:asciiTheme="minorHAnsi" w:hAnsiTheme="minorHAnsi" w:cs="Arial"/>
          <w:bCs/>
          <w:sz w:val="20"/>
          <w:szCs w:val="20"/>
        </w:rPr>
        <w:t>Employee Benefits in Private Industry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B805E6">
        <w:rPr>
          <w:rFonts w:asciiTheme="minorHAnsi" w:hAnsiTheme="minorHAnsi" w:cs="Arial"/>
          <w:bCs/>
          <w:sz w:val="20"/>
          <w:szCs w:val="20"/>
        </w:rPr>
        <w:t>in the United States, March 2007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4A5" w:rsidRDefault="000604A5" w:rsidP="003755B8">
      <w:r>
        <w:separator/>
      </w:r>
    </w:p>
  </w:footnote>
  <w:footnote w:type="continuationSeparator" w:id="0">
    <w:p w:rsidR="000604A5" w:rsidRDefault="000604A5" w:rsidP="003755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7005"/>
    <w:multiLevelType w:val="hybridMultilevel"/>
    <w:tmpl w:val="77A8F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05A60"/>
    <w:multiLevelType w:val="hybridMultilevel"/>
    <w:tmpl w:val="B0CE6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425E6"/>
    <w:multiLevelType w:val="hybridMultilevel"/>
    <w:tmpl w:val="3A289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2145F"/>
    <w:multiLevelType w:val="hybridMultilevel"/>
    <w:tmpl w:val="80B4F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87563"/>
    <w:multiLevelType w:val="hybridMultilevel"/>
    <w:tmpl w:val="38BCC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471DB8"/>
    <w:multiLevelType w:val="hybridMultilevel"/>
    <w:tmpl w:val="C2B2C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EC19B6"/>
    <w:multiLevelType w:val="hybridMultilevel"/>
    <w:tmpl w:val="270A1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0C25A1"/>
    <w:multiLevelType w:val="hybridMultilevel"/>
    <w:tmpl w:val="75DAC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31512B"/>
    <w:multiLevelType w:val="hybridMultilevel"/>
    <w:tmpl w:val="266A1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761D39"/>
    <w:multiLevelType w:val="hybridMultilevel"/>
    <w:tmpl w:val="93129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5D8"/>
    <w:rsid w:val="00010A6D"/>
    <w:rsid w:val="000305D8"/>
    <w:rsid w:val="0003381E"/>
    <w:rsid w:val="00035130"/>
    <w:rsid w:val="00047113"/>
    <w:rsid w:val="000604A5"/>
    <w:rsid w:val="00071A31"/>
    <w:rsid w:val="000729E9"/>
    <w:rsid w:val="00085588"/>
    <w:rsid w:val="00086212"/>
    <w:rsid w:val="000A094C"/>
    <w:rsid w:val="000A0A94"/>
    <w:rsid w:val="000B5A18"/>
    <w:rsid w:val="000C3177"/>
    <w:rsid w:val="000C79C2"/>
    <w:rsid w:val="000D34D1"/>
    <w:rsid w:val="000E752F"/>
    <w:rsid w:val="00101B2B"/>
    <w:rsid w:val="00106B05"/>
    <w:rsid w:val="0010767F"/>
    <w:rsid w:val="00127E76"/>
    <w:rsid w:val="001558B5"/>
    <w:rsid w:val="00170A3D"/>
    <w:rsid w:val="00181E2F"/>
    <w:rsid w:val="00187ECE"/>
    <w:rsid w:val="001A35B8"/>
    <w:rsid w:val="001B6183"/>
    <w:rsid w:val="001C646A"/>
    <w:rsid w:val="001D591C"/>
    <w:rsid w:val="002323F0"/>
    <w:rsid w:val="002508D0"/>
    <w:rsid w:val="0025395D"/>
    <w:rsid w:val="00253D6F"/>
    <w:rsid w:val="0026775C"/>
    <w:rsid w:val="002812E9"/>
    <w:rsid w:val="00284AED"/>
    <w:rsid w:val="002A37A2"/>
    <w:rsid w:val="002A645D"/>
    <w:rsid w:val="002D372D"/>
    <w:rsid w:val="002D3FB6"/>
    <w:rsid w:val="002D67CF"/>
    <w:rsid w:val="002E071C"/>
    <w:rsid w:val="002F0CDF"/>
    <w:rsid w:val="002F4CDC"/>
    <w:rsid w:val="00305EAC"/>
    <w:rsid w:val="00322E06"/>
    <w:rsid w:val="00343C67"/>
    <w:rsid w:val="0036281D"/>
    <w:rsid w:val="003755B8"/>
    <w:rsid w:val="003771E5"/>
    <w:rsid w:val="00397BE9"/>
    <w:rsid w:val="003B1C3A"/>
    <w:rsid w:val="003B3323"/>
    <w:rsid w:val="003D24D3"/>
    <w:rsid w:val="003E6AFD"/>
    <w:rsid w:val="003F007B"/>
    <w:rsid w:val="00404BE6"/>
    <w:rsid w:val="004201D4"/>
    <w:rsid w:val="00426897"/>
    <w:rsid w:val="00427E5B"/>
    <w:rsid w:val="0043068B"/>
    <w:rsid w:val="00434C13"/>
    <w:rsid w:val="004366B3"/>
    <w:rsid w:val="00450AD5"/>
    <w:rsid w:val="004615D5"/>
    <w:rsid w:val="004641A8"/>
    <w:rsid w:val="00482ED1"/>
    <w:rsid w:val="00494399"/>
    <w:rsid w:val="004A1978"/>
    <w:rsid w:val="004C776F"/>
    <w:rsid w:val="00500F99"/>
    <w:rsid w:val="00530BF3"/>
    <w:rsid w:val="00533144"/>
    <w:rsid w:val="0056311C"/>
    <w:rsid w:val="00563FF2"/>
    <w:rsid w:val="005727DA"/>
    <w:rsid w:val="005857B4"/>
    <w:rsid w:val="00594BAE"/>
    <w:rsid w:val="005A519E"/>
    <w:rsid w:val="005F13B2"/>
    <w:rsid w:val="00611683"/>
    <w:rsid w:val="00651822"/>
    <w:rsid w:val="00656B64"/>
    <w:rsid w:val="006652D5"/>
    <w:rsid w:val="0066770D"/>
    <w:rsid w:val="00670C0B"/>
    <w:rsid w:val="00676C07"/>
    <w:rsid w:val="00677522"/>
    <w:rsid w:val="006875B7"/>
    <w:rsid w:val="00687CB4"/>
    <w:rsid w:val="006906B9"/>
    <w:rsid w:val="00694793"/>
    <w:rsid w:val="00696E71"/>
    <w:rsid w:val="006A07BA"/>
    <w:rsid w:val="006F09AC"/>
    <w:rsid w:val="006F1039"/>
    <w:rsid w:val="006F2F73"/>
    <w:rsid w:val="00710857"/>
    <w:rsid w:val="00714CD5"/>
    <w:rsid w:val="00721178"/>
    <w:rsid w:val="007307F4"/>
    <w:rsid w:val="00731F5B"/>
    <w:rsid w:val="007477CC"/>
    <w:rsid w:val="007649AB"/>
    <w:rsid w:val="00770906"/>
    <w:rsid w:val="0078206A"/>
    <w:rsid w:val="007C0F95"/>
    <w:rsid w:val="007D1FFE"/>
    <w:rsid w:val="007E17F8"/>
    <w:rsid w:val="007E2E25"/>
    <w:rsid w:val="00840861"/>
    <w:rsid w:val="00842E2A"/>
    <w:rsid w:val="0085326C"/>
    <w:rsid w:val="00860A12"/>
    <w:rsid w:val="008662B6"/>
    <w:rsid w:val="00884CBD"/>
    <w:rsid w:val="00892137"/>
    <w:rsid w:val="008A051D"/>
    <w:rsid w:val="008B00F6"/>
    <w:rsid w:val="008D65BD"/>
    <w:rsid w:val="008D7BB8"/>
    <w:rsid w:val="008E2A91"/>
    <w:rsid w:val="008F5D05"/>
    <w:rsid w:val="009179A0"/>
    <w:rsid w:val="00927EFE"/>
    <w:rsid w:val="0093117B"/>
    <w:rsid w:val="00954A44"/>
    <w:rsid w:val="009562F6"/>
    <w:rsid w:val="00966BB4"/>
    <w:rsid w:val="00972240"/>
    <w:rsid w:val="009969A9"/>
    <w:rsid w:val="009C716A"/>
    <w:rsid w:val="009D5D95"/>
    <w:rsid w:val="009E731F"/>
    <w:rsid w:val="00A00464"/>
    <w:rsid w:val="00A123F6"/>
    <w:rsid w:val="00A3471A"/>
    <w:rsid w:val="00A36F24"/>
    <w:rsid w:val="00A42181"/>
    <w:rsid w:val="00A632B7"/>
    <w:rsid w:val="00A70ED1"/>
    <w:rsid w:val="00A81204"/>
    <w:rsid w:val="00A82806"/>
    <w:rsid w:val="00A9667E"/>
    <w:rsid w:val="00AC5A65"/>
    <w:rsid w:val="00AE1CC5"/>
    <w:rsid w:val="00AE5B3B"/>
    <w:rsid w:val="00AF2607"/>
    <w:rsid w:val="00AF7035"/>
    <w:rsid w:val="00B1047B"/>
    <w:rsid w:val="00B466D4"/>
    <w:rsid w:val="00B70870"/>
    <w:rsid w:val="00B73216"/>
    <w:rsid w:val="00B740FB"/>
    <w:rsid w:val="00B805E6"/>
    <w:rsid w:val="00BB3236"/>
    <w:rsid w:val="00BE3863"/>
    <w:rsid w:val="00BE474A"/>
    <w:rsid w:val="00C329EC"/>
    <w:rsid w:val="00C3545B"/>
    <w:rsid w:val="00C54EAF"/>
    <w:rsid w:val="00C7060D"/>
    <w:rsid w:val="00C965C0"/>
    <w:rsid w:val="00CB2FBD"/>
    <w:rsid w:val="00CB4E94"/>
    <w:rsid w:val="00CD1DB1"/>
    <w:rsid w:val="00CE14B0"/>
    <w:rsid w:val="00CE4EA6"/>
    <w:rsid w:val="00D009A4"/>
    <w:rsid w:val="00D127C0"/>
    <w:rsid w:val="00D318CC"/>
    <w:rsid w:val="00D414C1"/>
    <w:rsid w:val="00D50658"/>
    <w:rsid w:val="00D6703B"/>
    <w:rsid w:val="00D777BD"/>
    <w:rsid w:val="00D9578A"/>
    <w:rsid w:val="00D9736B"/>
    <w:rsid w:val="00D9790D"/>
    <w:rsid w:val="00DB5DA4"/>
    <w:rsid w:val="00DD06DF"/>
    <w:rsid w:val="00DE4116"/>
    <w:rsid w:val="00DE728F"/>
    <w:rsid w:val="00DF7BF0"/>
    <w:rsid w:val="00E04B45"/>
    <w:rsid w:val="00E125FC"/>
    <w:rsid w:val="00E166BC"/>
    <w:rsid w:val="00E3271B"/>
    <w:rsid w:val="00E33533"/>
    <w:rsid w:val="00E36700"/>
    <w:rsid w:val="00E47A3D"/>
    <w:rsid w:val="00E61C31"/>
    <w:rsid w:val="00E65E21"/>
    <w:rsid w:val="00E715C0"/>
    <w:rsid w:val="00E81C52"/>
    <w:rsid w:val="00E90A6B"/>
    <w:rsid w:val="00EA7ADC"/>
    <w:rsid w:val="00EB4276"/>
    <w:rsid w:val="00ED7D87"/>
    <w:rsid w:val="00EE0375"/>
    <w:rsid w:val="00EF6084"/>
    <w:rsid w:val="00F01AFF"/>
    <w:rsid w:val="00F0402B"/>
    <w:rsid w:val="00F22701"/>
    <w:rsid w:val="00F353AE"/>
    <w:rsid w:val="00F35F48"/>
    <w:rsid w:val="00F43687"/>
    <w:rsid w:val="00F43E6C"/>
    <w:rsid w:val="00F7691C"/>
    <w:rsid w:val="00F8125B"/>
    <w:rsid w:val="00F8384B"/>
    <w:rsid w:val="00F846DD"/>
    <w:rsid w:val="00F92DCB"/>
    <w:rsid w:val="00F93DA0"/>
    <w:rsid w:val="00FA532D"/>
    <w:rsid w:val="00FC4C03"/>
    <w:rsid w:val="00FC7790"/>
    <w:rsid w:val="00FD5D24"/>
    <w:rsid w:val="00FD677B"/>
    <w:rsid w:val="00FE086C"/>
    <w:rsid w:val="00FE1227"/>
    <w:rsid w:val="00FF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5D8"/>
    <w:pPr>
      <w:spacing w:after="0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0305D8"/>
  </w:style>
  <w:style w:type="character" w:styleId="Hyperlink">
    <w:name w:val="Hyperlink"/>
    <w:basedOn w:val="DefaultParagraphFont"/>
    <w:uiPriority w:val="99"/>
    <w:semiHidden/>
    <w:unhideWhenUsed/>
    <w:rsid w:val="002508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08D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6770D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755B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755B8"/>
    <w:rPr>
      <w:rFonts w:ascii="Calibri" w:hAnsi="Calibri" w:cs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755B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0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46996-A012-452C-B840-B41E5E175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4737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Daily</cp:lastModifiedBy>
  <cp:revision>26</cp:revision>
  <dcterms:created xsi:type="dcterms:W3CDTF">2014-07-18T14:32:00Z</dcterms:created>
  <dcterms:modified xsi:type="dcterms:W3CDTF">2014-07-28T03:00:00Z</dcterms:modified>
</cp:coreProperties>
</file>