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0449F" w:rsidR="00211F76" w:rsidP="00211F76" w:rsidRDefault="00211F76" w14:paraId="76B41BC9" w14:textId="77777777">
      <w:pPr>
        <w:keepNext/>
        <w:spacing w:before="240" w:after="60"/>
        <w:jc w:val="center"/>
        <w:outlineLvl w:val="1"/>
        <w:rPr>
          <w:rFonts w:ascii="Arial" w:hAnsi="Arial" w:cs="Arial"/>
          <w:b/>
          <w:bCs/>
          <w:i/>
          <w:iCs/>
          <w:noProof/>
          <w:sz w:val="32"/>
          <w:szCs w:val="32"/>
        </w:rPr>
      </w:pPr>
    </w:p>
    <w:p w:rsidRPr="0030449F" w:rsidR="00211F76" w:rsidP="00211F76" w:rsidRDefault="00211F76" w14:paraId="769AED52" w14:textId="77777777">
      <w:pPr>
        <w:keepNext/>
        <w:spacing w:before="240" w:after="60"/>
        <w:jc w:val="center"/>
        <w:outlineLvl w:val="1"/>
        <w:rPr>
          <w:rFonts w:ascii="Arial" w:hAnsi="Arial" w:cs="Arial"/>
          <w:b/>
          <w:bCs/>
          <w:i/>
          <w:iCs/>
          <w:noProof/>
          <w:sz w:val="32"/>
          <w:szCs w:val="32"/>
        </w:rPr>
      </w:pPr>
    </w:p>
    <w:p w:rsidRPr="0030449F" w:rsidR="00211F76" w:rsidP="00211F76" w:rsidRDefault="00211F76" w14:paraId="308F5402" w14:textId="77777777">
      <w:pPr>
        <w:keepNext/>
        <w:spacing w:before="240" w:after="60"/>
        <w:jc w:val="center"/>
        <w:outlineLvl w:val="1"/>
        <w:rPr>
          <w:rFonts w:ascii="Arial" w:hAnsi="Arial" w:cs="Arial"/>
          <w:b/>
          <w:bCs/>
          <w:i/>
          <w:iCs/>
          <w:noProof/>
          <w:sz w:val="32"/>
          <w:szCs w:val="32"/>
        </w:rPr>
      </w:pPr>
    </w:p>
    <w:p w:rsidRPr="00ED22E1" w:rsidR="00211F76" w:rsidP="00211F76" w:rsidRDefault="00EE3232" w14:paraId="059695E4" w14:textId="7F572563">
      <w:pPr>
        <w:keepNext/>
        <w:spacing w:before="240" w:after="60"/>
        <w:jc w:val="center"/>
        <w:outlineLvl w:val="1"/>
        <w:rPr>
          <w:rFonts w:ascii="Arial" w:hAnsi="Arial" w:cs="Arial"/>
          <w:b/>
          <w:bCs/>
          <w:i/>
          <w:iCs/>
          <w:noProof/>
          <w:sz w:val="32"/>
          <w:szCs w:val="32"/>
        </w:rPr>
      </w:pPr>
      <w:r w:rsidRPr="00ED22E1">
        <w:rPr>
          <w:rFonts w:ascii="Arial" w:hAnsi="Arial" w:cs="Arial"/>
          <w:b/>
          <w:bCs/>
          <w:i/>
          <w:iCs/>
          <w:noProof/>
          <w:sz w:val="32"/>
          <w:szCs w:val="32"/>
        </w:rPr>
        <w:t>202</w:t>
      </w:r>
      <w:r w:rsidRPr="00ED22E1" w:rsidR="0012670F">
        <w:rPr>
          <w:rFonts w:ascii="Arial" w:hAnsi="Arial" w:cs="Arial"/>
          <w:b/>
          <w:bCs/>
          <w:i/>
          <w:iCs/>
          <w:noProof/>
          <w:sz w:val="32"/>
          <w:szCs w:val="32"/>
        </w:rPr>
        <w:t>1</w:t>
      </w:r>
      <w:r w:rsidRPr="00ED22E1" w:rsidR="00211F76">
        <w:rPr>
          <w:rFonts w:ascii="Arial" w:hAnsi="Arial" w:cs="Arial"/>
          <w:b/>
          <w:bCs/>
          <w:i/>
          <w:iCs/>
          <w:noProof/>
          <w:sz w:val="32"/>
          <w:szCs w:val="32"/>
        </w:rPr>
        <w:t xml:space="preserve"> Action Plan for Housing &amp; Community Development</w:t>
      </w:r>
    </w:p>
    <w:p w:rsidRPr="00ED22E1" w:rsidR="00211F76" w:rsidP="00211F76" w:rsidRDefault="00211F76" w14:paraId="7D00F20A" w14:textId="77777777">
      <w:pPr>
        <w:keepNext/>
        <w:spacing w:before="240" w:after="60"/>
        <w:jc w:val="center"/>
        <w:outlineLvl w:val="1"/>
        <w:rPr>
          <w:rFonts w:ascii="Arial" w:hAnsi="Arial" w:cs="Arial"/>
          <w:b/>
          <w:bCs/>
          <w:i/>
          <w:iCs/>
          <w:sz w:val="28"/>
          <w:szCs w:val="28"/>
        </w:rPr>
      </w:pPr>
      <w:r w:rsidRPr="00ED22E1">
        <w:rPr>
          <w:rFonts w:ascii="Arial" w:hAnsi="Arial" w:cs="Arial"/>
          <w:b/>
          <w:bCs/>
          <w:i/>
          <w:iCs/>
          <w:sz w:val="28"/>
          <w:szCs w:val="28"/>
        </w:rPr>
        <w:t>City of Burlington, Vermont</w:t>
      </w:r>
    </w:p>
    <w:p w:rsidRPr="00ED22E1" w:rsidR="00211F76" w:rsidP="00211F76" w:rsidRDefault="00211F76" w14:paraId="28525BE6" w14:textId="77777777"/>
    <w:p w:rsidRPr="00ED22E1" w:rsidR="00211F76" w:rsidP="00211F76" w:rsidRDefault="00211F76" w14:paraId="7A9C608A" w14:textId="77777777"/>
    <w:p w:rsidRPr="00ED22E1" w:rsidR="00211F76" w:rsidP="00211F76" w:rsidRDefault="00211F76" w14:paraId="5C30941A" w14:textId="77777777"/>
    <w:p w:rsidRPr="00ED22E1" w:rsidR="00211F76" w:rsidP="00211F76" w:rsidRDefault="00211F76" w14:paraId="4EAEA0F5" w14:textId="77777777"/>
    <w:p w:rsidRPr="00ED22E1" w:rsidR="00211F76" w:rsidP="00211F76" w:rsidRDefault="00211F76" w14:paraId="1C61A5FB" w14:textId="77777777"/>
    <w:p w:rsidRPr="00ED22E1" w:rsidR="00211F76" w:rsidP="00211F76" w:rsidRDefault="00211F76" w14:paraId="692952E4" w14:textId="77777777"/>
    <w:p w:rsidRPr="00ED22E1" w:rsidR="00211F76" w:rsidP="00211F76" w:rsidRDefault="00211F76" w14:paraId="715DE452" w14:textId="77777777"/>
    <w:p w:rsidRPr="00ED22E1" w:rsidR="00211F76" w:rsidP="00211F76" w:rsidRDefault="00211F76" w14:paraId="3A0D026B" w14:textId="77777777"/>
    <w:p w:rsidRPr="00ED22E1" w:rsidR="00211F76" w:rsidP="00211F76" w:rsidRDefault="00211F76" w14:paraId="6A924768" w14:textId="77777777">
      <w:pPr>
        <w:spacing w:after="0"/>
      </w:pPr>
    </w:p>
    <w:p w:rsidRPr="00ED22E1" w:rsidR="00211F76" w:rsidP="00211F76" w:rsidRDefault="00211F76" w14:paraId="08CA60D6" w14:textId="76950054">
      <w:pPr>
        <w:spacing w:after="0"/>
        <w:jc w:val="center"/>
      </w:pPr>
      <w:r w:rsidRPr="00ED22E1">
        <w:t xml:space="preserve">Prepared by </w:t>
      </w:r>
      <w:r w:rsidRPr="00ED22E1" w:rsidR="0012670F">
        <w:t>Christine Curtis</w:t>
      </w:r>
    </w:p>
    <w:p w:rsidRPr="00ED22E1" w:rsidR="00211F76" w:rsidP="00211F76" w:rsidRDefault="00211F76" w14:paraId="56F1B57A" w14:textId="77777777">
      <w:pPr>
        <w:spacing w:after="0"/>
        <w:jc w:val="center"/>
      </w:pPr>
      <w:r w:rsidRPr="00ED22E1">
        <w:t>Community &amp; Economic Development Office</w:t>
      </w:r>
    </w:p>
    <w:p w:rsidRPr="00ED22E1" w:rsidR="00211F76" w:rsidP="00211F76" w:rsidRDefault="00211F76" w14:paraId="11CBEAF4" w14:textId="77777777">
      <w:pPr>
        <w:spacing w:after="0"/>
        <w:jc w:val="center"/>
      </w:pPr>
      <w:r w:rsidRPr="00ED22E1">
        <w:t>Room 32 – City Hall</w:t>
      </w:r>
    </w:p>
    <w:p w:rsidRPr="00ED22E1" w:rsidR="00211F76" w:rsidP="00211F76" w:rsidRDefault="00211F76" w14:paraId="5701601E" w14:textId="77777777">
      <w:pPr>
        <w:spacing w:after="0"/>
        <w:jc w:val="center"/>
      </w:pPr>
      <w:r w:rsidRPr="00ED22E1">
        <w:t>149 Church Street</w:t>
      </w:r>
    </w:p>
    <w:p w:rsidRPr="00ED22E1" w:rsidR="00211F76" w:rsidP="00211F76" w:rsidRDefault="00211F76" w14:paraId="6AD131B1" w14:textId="77777777">
      <w:pPr>
        <w:spacing w:after="0"/>
        <w:jc w:val="center"/>
      </w:pPr>
      <w:r w:rsidRPr="00ED22E1">
        <w:t>Burlington, VT 05401</w:t>
      </w:r>
    </w:p>
    <w:p w:rsidRPr="00ED22E1" w:rsidR="00211F76" w:rsidP="00211F76" w:rsidRDefault="00211F76" w14:paraId="766C487C" w14:textId="77777777">
      <w:pPr>
        <w:spacing w:after="0"/>
        <w:jc w:val="center"/>
      </w:pPr>
      <w:r w:rsidRPr="00ED22E1">
        <w:t>(802) 865-7144</w:t>
      </w:r>
    </w:p>
    <w:p w:rsidRPr="00ED22E1" w:rsidR="00211F76" w:rsidP="00211F76" w:rsidRDefault="00A4391D" w14:paraId="3325C08C" w14:textId="77777777">
      <w:pPr>
        <w:spacing w:after="0"/>
        <w:jc w:val="center"/>
      </w:pPr>
      <w:hyperlink w:history="1" r:id="rId11">
        <w:r w:rsidRPr="00ED22E1" w:rsidR="00211F76">
          <w:rPr>
            <w:color w:val="0000FF"/>
            <w:u w:val="single"/>
          </w:rPr>
          <w:t>www.burlingtonvt.gov/CEDO</w:t>
        </w:r>
      </w:hyperlink>
    </w:p>
    <w:p w:rsidRPr="00ED22E1" w:rsidR="00211F76" w:rsidP="00211F76" w:rsidRDefault="00211F76" w14:paraId="4A588C4E" w14:textId="77777777">
      <w:pPr>
        <w:jc w:val="center"/>
      </w:pPr>
    </w:p>
    <w:p w:rsidRPr="00ED22E1" w:rsidR="00211F76" w:rsidP="00211F76" w:rsidRDefault="00211F76" w14:paraId="420B772F" w14:textId="77777777">
      <w:pPr>
        <w:jc w:val="center"/>
      </w:pPr>
    </w:p>
    <w:p w:rsidRPr="00ED22E1" w:rsidR="00211F76" w:rsidP="00211F76" w:rsidRDefault="00211F76" w14:paraId="4CE820A9" w14:textId="77777777">
      <w:pPr>
        <w:jc w:val="center"/>
      </w:pPr>
    </w:p>
    <w:p w:rsidRPr="00ED22E1" w:rsidR="00211F76" w:rsidP="00211F76" w:rsidRDefault="00211F76" w14:paraId="0039E464" w14:textId="77777777">
      <w:pPr>
        <w:jc w:val="center"/>
      </w:pPr>
      <w:r w:rsidRPr="00ED22E1">
        <w:t>This document is available upon request in alternative format for persons with disabilities.</w:t>
      </w:r>
    </w:p>
    <w:p w:rsidRPr="00ED22E1" w:rsidR="00211F76" w:rsidP="00211F76" w:rsidRDefault="00211F76" w14:paraId="47FB8082" w14:textId="77777777">
      <w:pPr>
        <w:jc w:val="center"/>
        <w:rPr>
          <w:highlight w:val="lightGray"/>
        </w:rPr>
      </w:pPr>
    </w:p>
    <w:p w:rsidRPr="00ED22E1" w:rsidR="004422F8" w:rsidP="00236A28" w:rsidRDefault="00707A8F" w14:paraId="31C4E636" w14:textId="33FCF82E">
      <w:pPr>
        <w:shd w:val="clear" w:color="auto" w:fill="FFFFFF" w:themeFill="background1"/>
        <w:jc w:val="center"/>
        <w:rPr>
          <w:b/>
          <w:highlight w:val="lightGray"/>
        </w:rPr>
      </w:pPr>
      <w:r>
        <w:rPr>
          <w:b/>
          <w:highlight w:val="lightGray"/>
        </w:rPr>
        <w:lastRenderedPageBreak/>
        <w:t xml:space="preserve">Minor Amendment Created on </w:t>
      </w:r>
      <w:r w:rsidR="007504C4">
        <w:rPr>
          <w:b/>
          <w:highlight w:val="lightGray"/>
        </w:rPr>
        <w:t>April</w:t>
      </w:r>
      <w:r>
        <w:rPr>
          <w:b/>
          <w:highlight w:val="lightGray"/>
        </w:rPr>
        <w:t xml:space="preserve"> 1</w:t>
      </w:r>
      <w:r w:rsidR="007504C4">
        <w:rPr>
          <w:b/>
          <w:highlight w:val="lightGray"/>
        </w:rPr>
        <w:t>2</w:t>
      </w:r>
      <w:r w:rsidRPr="00707A8F">
        <w:rPr>
          <w:b/>
          <w:highlight w:val="lightGray"/>
          <w:vertAlign w:val="superscript"/>
        </w:rPr>
        <w:t>th</w:t>
      </w:r>
      <w:r>
        <w:rPr>
          <w:b/>
          <w:highlight w:val="lightGray"/>
        </w:rPr>
        <w:t>, 2022. Changes highlighted below.</w:t>
      </w:r>
    </w:p>
    <w:p w:rsidRPr="006679CB" w:rsidR="00FB37A8" w:rsidP="00FB37A8" w:rsidRDefault="00FB37A8" w14:paraId="45E2C06F" w14:textId="77777777">
      <w:pPr>
        <w:shd w:val="clear" w:color="auto" w:fill="FFFFFF" w:themeFill="background1"/>
        <w:jc w:val="center"/>
        <w:rPr>
          <w:b/>
        </w:rPr>
      </w:pPr>
      <w:r w:rsidRPr="006679CB">
        <w:rPr>
          <w:b/>
        </w:rPr>
        <w:t>Table of Contents</w:t>
      </w:r>
    </w:p>
    <w:p w:rsidRPr="00ED22E1" w:rsidR="00FB37A8" w:rsidP="00FB37A8" w:rsidRDefault="00FB37A8" w14:paraId="26FD3678" w14:textId="77777777">
      <w:pPr>
        <w:shd w:val="clear" w:color="auto" w:fill="FFFFFF" w:themeFill="background1"/>
        <w:jc w:val="center"/>
        <w:rPr>
          <w:highlight w:val="lightGray"/>
        </w:rPr>
      </w:pPr>
    </w:p>
    <w:p w:rsidRPr="006679CB" w:rsidR="00D83078" w:rsidP="00D83078" w:rsidRDefault="00D83078" w14:paraId="578C8D4F" w14:textId="77777777">
      <w:r w:rsidRPr="006679CB">
        <w:t>Executive Summary……………………………………………………………………………………………………………. 3</w:t>
      </w:r>
    </w:p>
    <w:p w:rsidRPr="006679CB" w:rsidR="00D83078" w:rsidP="00D83078" w:rsidRDefault="00D83078" w14:paraId="4615EEDC" w14:textId="77777777">
      <w:r w:rsidRPr="006679CB">
        <w:t>Lead &amp; Responsible Agencies……………………………………………………………………………………………. 8</w:t>
      </w:r>
    </w:p>
    <w:p w:rsidRPr="006679CB" w:rsidR="00D83078" w:rsidP="00D83078" w:rsidRDefault="00D83078" w14:paraId="527952A0" w14:textId="77777777">
      <w:r w:rsidRPr="006679CB">
        <w:t>Consultation……………………………………………………………………………………………………………………… 10</w:t>
      </w:r>
    </w:p>
    <w:p w:rsidRPr="006679CB" w:rsidR="00D83078" w:rsidP="00D83078" w:rsidRDefault="00D83078" w14:paraId="1363A2C3" w14:textId="77777777">
      <w:r w:rsidRPr="006679CB">
        <w:t>Participation &amp; Outreach………………………………………………………………………………………………</w:t>
      </w:r>
      <w:proofErr w:type="gramStart"/>
      <w:r w:rsidRPr="006679CB">
        <w:t>…..</w:t>
      </w:r>
      <w:proofErr w:type="gramEnd"/>
      <w:r w:rsidRPr="006679CB">
        <w:t xml:space="preserve"> 17</w:t>
      </w:r>
    </w:p>
    <w:p w:rsidRPr="006679CB" w:rsidR="00D83078" w:rsidP="00D83078" w:rsidRDefault="00D83078" w14:paraId="7067D61F" w14:textId="77777777">
      <w:r w:rsidRPr="006679CB">
        <w:t>Expected Resources………………………………………………………………………………………………………</w:t>
      </w:r>
      <w:proofErr w:type="gramStart"/>
      <w:r w:rsidRPr="006679CB">
        <w:t>…..</w:t>
      </w:r>
      <w:proofErr w:type="gramEnd"/>
      <w:r w:rsidRPr="006679CB">
        <w:t xml:space="preserve"> 2</w:t>
      </w:r>
      <w:r>
        <w:t>3</w:t>
      </w:r>
    </w:p>
    <w:p w:rsidRPr="006679CB" w:rsidR="00D83078" w:rsidP="00D83078" w:rsidRDefault="00D83078" w14:paraId="5A8E67CF" w14:textId="77777777">
      <w:pPr>
        <w:shd w:val="clear" w:color="auto" w:fill="FFFFFF" w:themeFill="background1"/>
      </w:pPr>
      <w:r w:rsidRPr="006679CB">
        <w:t>Annual Goals &amp; Objectives………………………………………………………………………………………………… 2</w:t>
      </w:r>
      <w:r>
        <w:t>6</w:t>
      </w:r>
    </w:p>
    <w:p w:rsidRPr="006679CB" w:rsidR="00D83078" w:rsidP="00D83078" w:rsidRDefault="00D83078" w14:paraId="2431567A" w14:textId="77777777">
      <w:pPr>
        <w:shd w:val="clear" w:color="auto" w:fill="FFFFFF" w:themeFill="background1"/>
      </w:pPr>
      <w:r w:rsidRPr="006679CB">
        <w:t>Projects…………………………………………………………………………………………………………………………</w:t>
      </w:r>
      <w:proofErr w:type="gramStart"/>
      <w:r w:rsidRPr="006679CB">
        <w:t>…..</w:t>
      </w:r>
      <w:proofErr w:type="gramEnd"/>
      <w:r w:rsidRPr="006679CB">
        <w:t xml:space="preserve"> 3</w:t>
      </w:r>
      <w:r>
        <w:t>2</w:t>
      </w:r>
    </w:p>
    <w:p w:rsidRPr="006679CB" w:rsidR="00D83078" w:rsidP="00D83078" w:rsidRDefault="00D83078" w14:paraId="13CF5DD7" w14:textId="77777777">
      <w:pPr>
        <w:shd w:val="clear" w:color="auto" w:fill="FFFFFF" w:themeFill="background1"/>
      </w:pPr>
      <w:r w:rsidRPr="006679CB">
        <w:t xml:space="preserve">Geographic Distribution……………………………………………………………………………………………………. </w:t>
      </w:r>
      <w:r>
        <w:t>41</w:t>
      </w:r>
    </w:p>
    <w:p w:rsidRPr="006679CB" w:rsidR="00D83078" w:rsidP="00D83078" w:rsidRDefault="00D83078" w14:paraId="154FBA94" w14:textId="77777777">
      <w:pPr>
        <w:shd w:val="clear" w:color="auto" w:fill="FFFFFF" w:themeFill="background1"/>
      </w:pPr>
      <w:r w:rsidRPr="006679CB">
        <w:t>Affordable Housing…………………………………………………………………………………………………………… 4</w:t>
      </w:r>
      <w:r>
        <w:t>3</w:t>
      </w:r>
    </w:p>
    <w:p w:rsidRPr="006679CB" w:rsidR="00D83078" w:rsidP="00D83078" w:rsidRDefault="00D83078" w14:paraId="2EB57F75" w14:textId="77777777">
      <w:pPr>
        <w:shd w:val="clear" w:color="auto" w:fill="FFFFFF" w:themeFill="background1"/>
      </w:pPr>
      <w:r w:rsidRPr="006679CB">
        <w:t>Public Housing………………………………………………………………………………………………………………</w:t>
      </w:r>
      <w:proofErr w:type="gramStart"/>
      <w:r w:rsidRPr="006679CB">
        <w:t>…..</w:t>
      </w:r>
      <w:proofErr w:type="gramEnd"/>
      <w:r w:rsidRPr="006679CB">
        <w:t xml:space="preserve"> 4</w:t>
      </w:r>
      <w:r>
        <w:t>5</w:t>
      </w:r>
    </w:p>
    <w:p w:rsidRPr="006679CB" w:rsidR="00D83078" w:rsidP="00D83078" w:rsidRDefault="00D83078" w14:paraId="03E76E1F" w14:textId="77777777">
      <w:pPr>
        <w:shd w:val="clear" w:color="auto" w:fill="FFFFFF" w:themeFill="background1"/>
      </w:pPr>
      <w:r w:rsidRPr="006679CB">
        <w:t>Homeless &amp; Other Special Needs Activities………………………………………………………………………. 4</w:t>
      </w:r>
      <w:r>
        <w:t>7</w:t>
      </w:r>
    </w:p>
    <w:p w:rsidRPr="006679CB" w:rsidR="00D83078" w:rsidP="00D83078" w:rsidRDefault="00D83078" w14:paraId="60783ABB" w14:textId="77777777">
      <w:pPr>
        <w:shd w:val="clear" w:color="auto" w:fill="FFFFFF" w:themeFill="background1"/>
      </w:pPr>
      <w:r w:rsidRPr="006679CB">
        <w:t>Barriers to Affordable Housing…………………………………………………………………………………………. 5</w:t>
      </w:r>
      <w:r>
        <w:t>4</w:t>
      </w:r>
    </w:p>
    <w:p w:rsidRPr="006679CB" w:rsidR="00D83078" w:rsidP="00D83078" w:rsidRDefault="00D83078" w14:paraId="7F71FCDC" w14:textId="77777777">
      <w:pPr>
        <w:shd w:val="clear" w:color="auto" w:fill="FFFFFF" w:themeFill="background1"/>
      </w:pPr>
      <w:r w:rsidRPr="006679CB">
        <w:t>Other Actions…………………………………………………………………………………………………………………… 5</w:t>
      </w:r>
      <w:r>
        <w:t>8</w:t>
      </w:r>
    </w:p>
    <w:p w:rsidRPr="006679CB" w:rsidR="00D83078" w:rsidP="00D83078" w:rsidRDefault="00D83078" w14:paraId="52FE7776" w14:textId="77777777">
      <w:pPr>
        <w:shd w:val="clear" w:color="auto" w:fill="FFFFFF" w:themeFill="background1"/>
      </w:pPr>
      <w:r w:rsidRPr="006679CB">
        <w:t>Program Specific Requirements……………………………………………………………………………………</w:t>
      </w:r>
      <w:proofErr w:type="gramStart"/>
      <w:r w:rsidRPr="006679CB">
        <w:t>…..</w:t>
      </w:r>
      <w:proofErr w:type="gramEnd"/>
      <w:r w:rsidRPr="006679CB">
        <w:t xml:space="preserve"> 6</w:t>
      </w:r>
      <w:r>
        <w:t>3</w:t>
      </w:r>
    </w:p>
    <w:p w:rsidRPr="006679CB" w:rsidR="00D83078" w:rsidP="00D83078" w:rsidRDefault="00D83078" w14:paraId="0739C74E" w14:textId="77777777">
      <w:pPr>
        <w:shd w:val="clear" w:color="auto" w:fill="FFFFFF" w:themeFill="background1"/>
      </w:pPr>
      <w:r w:rsidRPr="006679CB">
        <w:t>Appendix………………………………………………………………………………………………………………………</w:t>
      </w:r>
      <w:proofErr w:type="gramStart"/>
      <w:r w:rsidRPr="006679CB">
        <w:t>…..</w:t>
      </w:r>
      <w:proofErr w:type="gramEnd"/>
      <w:r w:rsidRPr="006679CB">
        <w:t xml:space="preserve"> 6</w:t>
      </w:r>
      <w:r>
        <w:t>7</w:t>
      </w:r>
    </w:p>
    <w:p w:rsidR="00FB37A8" w:rsidP="00FB37A8" w:rsidRDefault="00FB37A8" w14:paraId="406D0F8E" w14:textId="77777777"/>
    <w:p w:rsidRPr="00ED22E1" w:rsidR="00211F76" w:rsidP="00236A28" w:rsidRDefault="00211F76" w14:paraId="5B52E8E7" w14:textId="77777777">
      <w:pPr>
        <w:shd w:val="clear" w:color="auto" w:fill="FFFFFF" w:themeFill="background1"/>
        <w:rPr>
          <w:highlight w:val="lightGray"/>
        </w:rPr>
      </w:pPr>
    </w:p>
    <w:p w:rsidRPr="00ED22E1" w:rsidR="00211F76" w:rsidP="00211F76" w:rsidRDefault="00211F76" w14:paraId="16BDCC1F" w14:textId="77777777">
      <w:pPr>
        <w:rPr>
          <w:highlight w:val="lightGray"/>
        </w:rPr>
      </w:pPr>
    </w:p>
    <w:p w:rsidRPr="00ED22E1" w:rsidR="00211F76" w:rsidP="00211F76" w:rsidRDefault="00211F76" w14:paraId="0A4C91D0" w14:textId="77777777">
      <w:pPr>
        <w:rPr>
          <w:highlight w:val="lightGray"/>
        </w:rPr>
      </w:pPr>
    </w:p>
    <w:p w:rsidRPr="00ED22E1" w:rsidR="00211F76" w:rsidP="00211F76" w:rsidRDefault="00211F76" w14:paraId="36829628" w14:textId="77777777">
      <w:pPr>
        <w:rPr>
          <w:highlight w:val="lightGray"/>
        </w:rPr>
      </w:pPr>
    </w:p>
    <w:p w:rsidRPr="00ED22E1" w:rsidR="00211F76" w:rsidP="00211F76" w:rsidRDefault="00211F76" w14:paraId="4AC73BD8" w14:textId="77777777">
      <w:pPr>
        <w:rPr>
          <w:highlight w:val="lightGray"/>
        </w:rPr>
      </w:pPr>
    </w:p>
    <w:p w:rsidRPr="008606A5" w:rsidR="008606A5" w:rsidP="008606A5" w:rsidRDefault="008606A5" w14:paraId="49AE5597" w14:textId="24B7E526">
      <w:pPr>
        <w:rPr>
          <w:b/>
        </w:rPr>
      </w:pPr>
      <w:r w:rsidRPr="008606A5">
        <w:rPr>
          <w:b/>
        </w:rPr>
        <w:lastRenderedPageBreak/>
        <w:t>1</w:t>
      </w:r>
      <w:r w:rsidRPr="008606A5">
        <w:rPr>
          <w:b/>
          <w:vertAlign w:val="superscript"/>
        </w:rPr>
        <w:t>st</w:t>
      </w:r>
      <w:r w:rsidRPr="008606A5">
        <w:rPr>
          <w:b/>
        </w:rPr>
        <w:t xml:space="preserve"> Amendment (Minor): June 17</w:t>
      </w:r>
      <w:r w:rsidRPr="008606A5">
        <w:rPr>
          <w:b/>
          <w:vertAlign w:val="superscript"/>
        </w:rPr>
        <w:t>th</w:t>
      </w:r>
      <w:r w:rsidRPr="008606A5">
        <w:rPr>
          <w:b/>
        </w:rPr>
        <w:t xml:space="preserve">, 2021 – </w:t>
      </w:r>
      <w:r w:rsidRPr="008606A5">
        <w:rPr>
          <w:rFonts w:cs="Arial"/>
          <w:b/>
        </w:rPr>
        <w:t>Correction to the City of Burlington’s 2021 entitlement funding allocations for the CDBG programs.</w:t>
      </w:r>
    </w:p>
    <w:p w:rsidR="008606A5" w:rsidP="00F511B5" w:rsidRDefault="008606A5" w14:paraId="1315E2E6" w14:textId="64A9A5CD">
      <w:pPr>
        <w:pStyle w:val="Heading1"/>
        <w:jc w:val="center"/>
        <w:rPr>
          <w:rFonts w:ascii="Calibri" w:hAnsi="Calibri"/>
          <w:color w:val="auto"/>
          <w:sz w:val="32"/>
          <w:szCs w:val="32"/>
        </w:rPr>
      </w:pPr>
    </w:p>
    <w:p w:rsidRPr="008606A5" w:rsidR="00707A8F" w:rsidP="00707A8F" w:rsidRDefault="00707A8F" w14:paraId="58343C59" w14:textId="38F56B7C">
      <w:pPr>
        <w:rPr>
          <w:b/>
        </w:rPr>
      </w:pPr>
      <w:r>
        <w:rPr>
          <w:b/>
        </w:rPr>
        <w:t>2</w:t>
      </w:r>
      <w:r w:rsidRPr="00707A8F">
        <w:rPr>
          <w:b/>
          <w:vertAlign w:val="superscript"/>
        </w:rPr>
        <w:t>nd</w:t>
      </w:r>
      <w:r w:rsidRPr="008606A5">
        <w:rPr>
          <w:b/>
        </w:rPr>
        <w:t xml:space="preserve"> Amendment (Minor): </w:t>
      </w:r>
      <w:r>
        <w:rPr>
          <w:b/>
        </w:rPr>
        <w:t>February 10</w:t>
      </w:r>
      <w:r w:rsidRPr="00707A8F">
        <w:rPr>
          <w:b/>
          <w:vertAlign w:val="superscript"/>
        </w:rPr>
        <w:t>th</w:t>
      </w:r>
      <w:r>
        <w:rPr>
          <w:b/>
        </w:rPr>
        <w:t>, 2022</w:t>
      </w:r>
      <w:r w:rsidRPr="008606A5">
        <w:rPr>
          <w:b/>
        </w:rPr>
        <w:t xml:space="preserve"> – </w:t>
      </w:r>
      <w:r>
        <w:rPr>
          <w:rFonts w:cs="Arial"/>
          <w:b/>
        </w:rPr>
        <w:t>Update</w:t>
      </w:r>
      <w:r w:rsidRPr="008606A5">
        <w:rPr>
          <w:rFonts w:cs="Arial"/>
          <w:b/>
        </w:rPr>
        <w:t xml:space="preserve"> to the City of Burlington’s 2021 entitlement funding allocations for the CDBG programs.</w:t>
      </w:r>
    </w:p>
    <w:p w:rsidRPr="00A4391D" w:rsidR="00223E89" w:rsidP="00223E89" w:rsidRDefault="00223E89" w14:paraId="3E3B2591" w14:textId="1B08240B">
      <w:pPr>
        <w:rPr>
          <w:rFonts w:cs="Arial"/>
          <w:b/>
        </w:rPr>
      </w:pPr>
      <w:r w:rsidRPr="00A4391D">
        <w:rPr>
          <w:rFonts w:cs="Arial"/>
          <w:b/>
        </w:rPr>
        <w:t>3</w:t>
      </w:r>
      <w:r w:rsidRPr="00A4391D">
        <w:rPr>
          <w:rFonts w:cs="Arial"/>
          <w:b/>
          <w:vertAlign w:val="superscript"/>
        </w:rPr>
        <w:t>rd</w:t>
      </w:r>
      <w:r w:rsidR="00A4391D">
        <w:rPr>
          <w:rFonts w:cs="Arial"/>
          <w:b/>
        </w:rPr>
        <w:t xml:space="preserve"> </w:t>
      </w:r>
      <w:r w:rsidRPr="00A4391D">
        <w:rPr>
          <w:rFonts w:cs="Arial"/>
          <w:b/>
        </w:rPr>
        <w:t xml:space="preserve">Amendment (Minor): April </w:t>
      </w:r>
      <w:r w:rsidRPr="00A4391D" w:rsidR="007504C4">
        <w:rPr>
          <w:rFonts w:cs="Arial"/>
          <w:b/>
        </w:rPr>
        <w:t>12</w:t>
      </w:r>
      <w:r w:rsidRPr="00A4391D">
        <w:rPr>
          <w:rFonts w:cs="Arial"/>
          <w:b/>
        </w:rPr>
        <w:t>, 2022 – Update to the City of Burlington’s 2021 entitlement funding allocations for the CDBG programs.</w:t>
      </w:r>
    </w:p>
    <w:p w:rsidRPr="008606A5" w:rsidR="00A4391D" w:rsidP="00A4391D" w:rsidRDefault="00A4391D" w14:paraId="645D875B" w14:textId="5E363E37">
      <w:pPr>
        <w:rPr>
          <w:b/>
        </w:rPr>
      </w:pPr>
      <w:r>
        <w:rPr>
          <w:b/>
          <w:highlight w:val="yellow"/>
        </w:rPr>
        <w:t>4</w:t>
      </w:r>
      <w:r w:rsidRPr="00A4391D">
        <w:rPr>
          <w:b/>
          <w:highlight w:val="yellow"/>
          <w:vertAlign w:val="superscript"/>
        </w:rPr>
        <w:t>th</w:t>
      </w:r>
      <w:r w:rsidRPr="00223E89">
        <w:rPr>
          <w:b/>
          <w:highlight w:val="yellow"/>
        </w:rPr>
        <w:t xml:space="preserve"> Amendment (Minor): April </w:t>
      </w:r>
      <w:r>
        <w:rPr>
          <w:b/>
          <w:highlight w:val="yellow"/>
        </w:rPr>
        <w:t>2</w:t>
      </w:r>
      <w:r>
        <w:rPr>
          <w:b/>
          <w:highlight w:val="yellow"/>
        </w:rPr>
        <w:t>6</w:t>
      </w:r>
      <w:r w:rsidRPr="00223E89">
        <w:rPr>
          <w:b/>
          <w:highlight w:val="yellow"/>
        </w:rPr>
        <w:t xml:space="preserve">, 2022 – </w:t>
      </w:r>
      <w:r w:rsidRPr="00223E89">
        <w:rPr>
          <w:rFonts w:cs="Arial"/>
          <w:b/>
          <w:highlight w:val="yellow"/>
        </w:rPr>
        <w:t>Update to the City of Burlington’s 2021 entitlement funding allocations for the CDBG programs.</w:t>
      </w:r>
    </w:p>
    <w:p w:rsidRPr="008606A5" w:rsidR="00A4391D" w:rsidP="00223E89" w:rsidRDefault="00A4391D" w14:paraId="1896984D" w14:textId="77777777">
      <w:pPr>
        <w:rPr>
          <w:b/>
        </w:rPr>
      </w:pPr>
    </w:p>
    <w:p w:rsidRPr="00174E1C" w:rsidR="00777D08" w:rsidP="00F511B5" w:rsidRDefault="00211F76" w14:paraId="317E2A13" w14:textId="00D55476">
      <w:pPr>
        <w:pStyle w:val="Heading1"/>
        <w:jc w:val="center"/>
        <w:rPr>
          <w:rFonts w:ascii="Calibri" w:hAnsi="Calibri"/>
          <w:color w:val="auto"/>
          <w:sz w:val="32"/>
          <w:szCs w:val="32"/>
        </w:rPr>
      </w:pPr>
      <w:r w:rsidRPr="00174E1C">
        <w:rPr>
          <w:rFonts w:ascii="Calibri" w:hAnsi="Calibri"/>
          <w:color w:val="auto"/>
          <w:sz w:val="32"/>
          <w:szCs w:val="32"/>
        </w:rPr>
        <w:t>Executive Summary</w:t>
      </w:r>
    </w:p>
    <w:p w:rsidRPr="00174E1C" w:rsidR="00777D08" w:rsidRDefault="00211F76" w14:paraId="5020F0D8" w14:textId="77777777">
      <w:pPr>
        <w:pStyle w:val="Heading2"/>
        <w:rPr>
          <w:rFonts w:ascii="Calibri" w:hAnsi="Calibri"/>
          <w:i w:val="0"/>
        </w:rPr>
      </w:pPr>
      <w:r w:rsidRPr="00174E1C">
        <w:rPr>
          <w:rFonts w:ascii="Calibri" w:hAnsi="Calibri"/>
          <w:i w:val="0"/>
        </w:rPr>
        <w:t>AP-05 Executive Summary - 24 CFR 91.200(c), 91.220(b)</w:t>
      </w:r>
    </w:p>
    <w:p w:rsidRPr="00174E1C" w:rsidR="00777D08" w:rsidRDefault="00211F76" w14:paraId="1AC4756C" w14:textId="6225E0B7">
      <w:pPr>
        <w:rPr>
          <w:b/>
          <w:sz w:val="24"/>
          <w:szCs w:val="24"/>
        </w:rPr>
      </w:pPr>
      <w:r w:rsidRPr="00174E1C">
        <w:rPr>
          <w:b/>
          <w:sz w:val="24"/>
          <w:szCs w:val="24"/>
        </w:rPr>
        <w:t>1.</w:t>
      </w:r>
      <w:r w:rsidRPr="00174E1C">
        <w:rPr>
          <w:b/>
          <w:sz w:val="24"/>
          <w:szCs w:val="24"/>
        </w:rPr>
        <w:tab/>
      </w:r>
      <w:r w:rsidRPr="00174E1C">
        <w:rPr>
          <w:b/>
          <w:sz w:val="24"/>
          <w:szCs w:val="24"/>
        </w:rPr>
        <w:t>Introduction</w:t>
      </w:r>
    </w:p>
    <w:p w:rsidRPr="00174E1C" w:rsidR="00E85DD7" w:rsidRDefault="00EE3232" w14:paraId="1E76A65F" w14:textId="77D4D12B">
      <w:pPr>
        <w:spacing w:beforeAutospacing="1" w:afterAutospacing="1"/>
        <w:rPr>
          <w:rFonts w:cs="Arial"/>
        </w:rPr>
      </w:pPr>
      <w:r w:rsidRPr="00174E1C">
        <w:rPr>
          <w:rFonts w:cs="Arial"/>
        </w:rPr>
        <w:t>The 202</w:t>
      </w:r>
      <w:r w:rsidRPr="00174E1C" w:rsidR="004422F8">
        <w:rPr>
          <w:rFonts w:cs="Arial"/>
        </w:rPr>
        <w:t>1</w:t>
      </w:r>
      <w:r w:rsidRPr="00174E1C" w:rsidR="00211F76">
        <w:rPr>
          <w:rFonts w:cs="Arial"/>
        </w:rPr>
        <w:t xml:space="preserve"> Action Plan explains how the City plans to spend the Community Development Block Grant (CDBG) and HOME Investment Partnership Act (HOME) funds that the City receives from the U.S. Department of Housing &amp; Urban Development (HUD), together with other leveraged resources, during the upcoming progra</w:t>
      </w:r>
      <w:r w:rsidRPr="00174E1C">
        <w:rPr>
          <w:rFonts w:cs="Arial"/>
        </w:rPr>
        <w:t>m year beginning on July 1, 202</w:t>
      </w:r>
      <w:r w:rsidRPr="00174E1C" w:rsidR="004422F8">
        <w:rPr>
          <w:rFonts w:cs="Arial"/>
        </w:rPr>
        <w:t>1</w:t>
      </w:r>
      <w:r w:rsidRPr="00174E1C" w:rsidR="00211F76">
        <w:rPr>
          <w:rFonts w:cs="Arial"/>
        </w:rPr>
        <w:t>. The national CDBG program is a principal revenue source to grow local communities and improve the quality of lives for low- and moderate- income residents. The HOME program is designed to create affordable housing for low-income households through building, buying, and/or rehabilitating housing for rent or homeownership.</w:t>
      </w:r>
      <w:r w:rsidRPr="00174E1C" w:rsidR="00E84F14">
        <w:rPr>
          <w:rFonts w:cs="Arial"/>
        </w:rPr>
        <w:t xml:space="preserve"> </w:t>
      </w:r>
    </w:p>
    <w:p w:rsidRPr="00707A8F" w:rsidR="00777D08" w:rsidRDefault="00211F76" w14:paraId="1B2028C5" w14:textId="2875E38A">
      <w:pPr>
        <w:spacing w:beforeAutospacing="1" w:afterAutospacing="1"/>
        <w:rPr>
          <w:rFonts w:cs="Arial"/>
          <w:b/>
        </w:rPr>
      </w:pPr>
      <w:r w:rsidRPr="00174E1C">
        <w:rPr>
          <w:rFonts w:cs="Arial"/>
        </w:rPr>
        <w:t xml:space="preserve">The overall goal of these community planning and development programs is to develop viable communities by providing decent housing, expanded economic opportunities, and a suitable living environment, principally for low- and moderate-income persons. HUD administers these programs on a national basis and awards grants to entitlement communities and participating jurisdictions – including the City of Burlington – each year on a formula basis. The City in turn awards grants and loans to local </w:t>
      </w:r>
      <w:r w:rsidRPr="00707A8F">
        <w:rPr>
          <w:rFonts w:cs="Arial"/>
          <w:b/>
        </w:rPr>
        <w:t>nonprofits as well as providing direct services to residents and businesses through several CDBG-funded programs.</w:t>
      </w:r>
    </w:p>
    <w:p w:rsidRPr="00223E89" w:rsidR="008606A5" w:rsidP="008606A5" w:rsidRDefault="008606A5" w14:paraId="2B015FA0" w14:textId="2F8EF2BA">
      <w:pPr>
        <w:spacing w:beforeAutospacing="1" w:afterAutospacing="1"/>
        <w:rPr>
          <w:rFonts w:cs="Arial"/>
          <w:b/>
        </w:rPr>
      </w:pPr>
      <w:r w:rsidRPr="00707A8F">
        <w:rPr>
          <w:rFonts w:cs="Arial"/>
          <w:b/>
        </w:rPr>
        <w:t>The first amendment to this plan was made on June 17</w:t>
      </w:r>
      <w:r w:rsidRPr="00707A8F">
        <w:rPr>
          <w:rFonts w:cs="Arial"/>
          <w:b/>
          <w:vertAlign w:val="superscript"/>
        </w:rPr>
        <w:t>th</w:t>
      </w:r>
      <w:r w:rsidRPr="00707A8F">
        <w:rPr>
          <w:rFonts w:cs="Arial"/>
          <w:b/>
        </w:rPr>
        <w:t xml:space="preserve">, 2021 </w:t>
      </w:r>
      <w:r w:rsidRPr="00223E89">
        <w:rPr>
          <w:rFonts w:cs="Arial"/>
          <w:b/>
        </w:rPr>
        <w:t>at HUD’s request to correct the City of Burlington’s 2021</w:t>
      </w:r>
      <w:r w:rsidRPr="00223E89" w:rsidR="003D334C">
        <w:rPr>
          <w:rFonts w:cs="Arial"/>
          <w:b/>
        </w:rPr>
        <w:t xml:space="preserve"> </w:t>
      </w:r>
      <w:r w:rsidRPr="00223E89">
        <w:rPr>
          <w:rFonts w:cs="Arial"/>
          <w:b/>
        </w:rPr>
        <w:t>entitlement funding allocations for the CDBG programs. Per our citizen participation plan, this is a minor amendment that did not trigger a public process.</w:t>
      </w:r>
    </w:p>
    <w:p w:rsidRPr="00A4391D" w:rsidR="00707A8F" w:rsidP="00707A8F" w:rsidRDefault="00707A8F" w14:paraId="5ED4412B" w14:textId="3EA4DBBD">
      <w:pPr>
        <w:spacing w:beforeAutospacing="1" w:afterAutospacing="1"/>
        <w:rPr>
          <w:rFonts w:cs="Arial"/>
          <w:b/>
        </w:rPr>
      </w:pPr>
      <w:r w:rsidRPr="00223E89">
        <w:rPr>
          <w:rFonts w:cs="Arial"/>
          <w:b/>
        </w:rPr>
        <w:lastRenderedPageBreak/>
        <w:t xml:space="preserve">The second amendment to this plan was made </w:t>
      </w:r>
      <w:r w:rsidRPr="00A4391D">
        <w:rPr>
          <w:rFonts w:cs="Arial"/>
          <w:b/>
        </w:rPr>
        <w:t>on February 10</w:t>
      </w:r>
      <w:r w:rsidRPr="00A4391D">
        <w:rPr>
          <w:rFonts w:cs="Arial"/>
          <w:b/>
          <w:vertAlign w:val="superscript"/>
        </w:rPr>
        <w:t>th</w:t>
      </w:r>
      <w:r w:rsidRPr="00A4391D">
        <w:rPr>
          <w:rFonts w:cs="Arial"/>
          <w:b/>
        </w:rPr>
        <w:t>, 2022 to provide some updates to the City of Burlington’s 2021 entitlement funding allocations for the CDBG programs. Per our citizen participation plan, this is a minor amendment that did not trigger a public process.</w:t>
      </w:r>
    </w:p>
    <w:p w:rsidRPr="00A4391D" w:rsidR="00223E89" w:rsidP="00223E89" w:rsidRDefault="00223E89" w14:paraId="60122B4A" w14:textId="27F6B2F8">
      <w:pPr>
        <w:spacing w:beforeAutospacing="1" w:afterAutospacing="1"/>
        <w:rPr>
          <w:rFonts w:cs="Arial"/>
          <w:b/>
        </w:rPr>
      </w:pPr>
      <w:r w:rsidRPr="00A4391D">
        <w:rPr>
          <w:rFonts w:cs="Arial"/>
          <w:b/>
        </w:rPr>
        <w:t xml:space="preserve">The third amendment to this plan was made on April </w:t>
      </w:r>
      <w:r w:rsidRPr="00A4391D" w:rsidR="007504C4">
        <w:rPr>
          <w:rFonts w:cs="Arial"/>
          <w:b/>
        </w:rPr>
        <w:t>12</w:t>
      </w:r>
      <w:r w:rsidRPr="00A4391D">
        <w:rPr>
          <w:rFonts w:cs="Arial"/>
          <w:b/>
        </w:rPr>
        <w:t>, 2022 to provide some updates to the City of Burlington’s 2021 entitlement funding allocations for the CDBG programs. Per our citizen participation plan, this is a minor amendment that did not trigger a public process.</w:t>
      </w:r>
    </w:p>
    <w:p w:rsidRPr="008606A5" w:rsidR="00A4391D" w:rsidP="4789893E" w:rsidRDefault="00A4391D" w14:paraId="349C8D07" w14:textId="6BC0C625">
      <w:pPr>
        <w:spacing w:beforeAutospacing="on" w:afterAutospacing="on"/>
        <w:rPr>
          <w:rFonts w:cs="Arial"/>
          <w:b w:val="1"/>
          <w:bCs w:val="1"/>
        </w:rPr>
      </w:pPr>
      <w:r w:rsidRPr="4789893E" w:rsidR="00A4391D">
        <w:rPr>
          <w:rFonts w:cs="Arial"/>
          <w:b w:val="1"/>
          <w:bCs w:val="1"/>
          <w:highlight w:val="yellow"/>
        </w:rPr>
        <w:t>The fourth</w:t>
      </w:r>
      <w:r w:rsidRPr="4789893E" w:rsidR="00A4391D">
        <w:rPr>
          <w:rFonts w:cs="Arial"/>
          <w:b w:val="1"/>
          <w:bCs w:val="1"/>
          <w:highlight w:val="yellow"/>
        </w:rPr>
        <w:t xml:space="preserve"> </w:t>
      </w:r>
      <w:r w:rsidRPr="4789893E" w:rsidR="00A4391D">
        <w:rPr>
          <w:rFonts w:cs="Arial"/>
          <w:b w:val="1"/>
          <w:bCs w:val="1"/>
          <w:highlight w:val="yellow"/>
        </w:rPr>
        <w:t xml:space="preserve">amendment to this plan was made on </w:t>
      </w:r>
      <w:r w:rsidRPr="4789893E" w:rsidR="00A4391D">
        <w:rPr>
          <w:rFonts w:cs="Arial"/>
          <w:b w:val="1"/>
          <w:bCs w:val="1"/>
          <w:highlight w:val="yellow"/>
        </w:rPr>
        <w:t xml:space="preserve">April </w:t>
      </w:r>
      <w:r w:rsidRPr="4789893E" w:rsidR="00A4391D">
        <w:rPr>
          <w:rFonts w:cs="Arial"/>
          <w:b w:val="1"/>
          <w:bCs w:val="1"/>
          <w:highlight w:val="yellow"/>
        </w:rPr>
        <w:t>26</w:t>
      </w:r>
      <w:r w:rsidRPr="4789893E" w:rsidR="00A4391D">
        <w:rPr>
          <w:rFonts w:cs="Arial"/>
          <w:b w:val="1"/>
          <w:bCs w:val="1"/>
          <w:highlight w:val="yellow"/>
        </w:rPr>
        <w:t>, 202</w:t>
      </w:r>
      <w:r w:rsidRPr="4789893E" w:rsidR="00A4391D">
        <w:rPr>
          <w:rFonts w:cs="Arial"/>
          <w:b w:val="1"/>
          <w:bCs w:val="1"/>
          <w:highlight w:val="yellow"/>
        </w:rPr>
        <w:t>2</w:t>
      </w:r>
      <w:r w:rsidRPr="4789893E" w:rsidR="00A4391D">
        <w:rPr>
          <w:rFonts w:cs="Arial"/>
          <w:b w:val="1"/>
          <w:bCs w:val="1"/>
          <w:highlight w:val="yellow"/>
        </w:rPr>
        <w:t xml:space="preserve"> </w:t>
      </w:r>
      <w:r w:rsidRPr="4789893E" w:rsidR="00A4391D">
        <w:rPr>
          <w:rFonts w:cs="Arial"/>
          <w:b w:val="1"/>
          <w:bCs w:val="1"/>
          <w:highlight w:val="yellow"/>
        </w:rPr>
        <w:t xml:space="preserve">to provide some updates to the </w:t>
      </w:r>
      <w:r w:rsidRPr="4789893E" w:rsidR="00A4391D">
        <w:rPr>
          <w:rFonts w:cs="Arial"/>
          <w:b w:val="1"/>
          <w:bCs w:val="1"/>
          <w:highlight w:val="yellow"/>
        </w:rPr>
        <w:t>City of Burlington’s 2021 entitlement funding allocations for the CDBG programs. Per our citizen participation plan, this is a minor amendment that did not trigger a public process.</w:t>
      </w:r>
    </w:p>
    <w:p w:rsidRPr="008606A5" w:rsidR="00A4391D" w:rsidP="00223E89" w:rsidRDefault="00A4391D" w14:paraId="3E3C913C" w14:textId="77777777">
      <w:pPr>
        <w:spacing w:beforeAutospacing="1" w:afterAutospacing="1"/>
        <w:rPr>
          <w:rFonts w:cs="Arial"/>
          <w:b/>
        </w:rPr>
      </w:pPr>
    </w:p>
    <w:p w:rsidRPr="00174E1C" w:rsidR="008606A5" w:rsidRDefault="008606A5" w14:paraId="2F6E06A3" w14:textId="77777777">
      <w:pPr>
        <w:spacing w:beforeAutospacing="1" w:afterAutospacing="1"/>
        <w:rPr>
          <w:rFonts w:cs="Arial"/>
        </w:rPr>
      </w:pPr>
    </w:p>
    <w:p w:rsidRPr="00174E1C" w:rsidR="00777D08" w:rsidRDefault="00211F76" w14:paraId="3BC8D0A1" w14:textId="77777777">
      <w:pPr>
        <w:rPr>
          <w:b/>
          <w:sz w:val="24"/>
          <w:szCs w:val="24"/>
        </w:rPr>
      </w:pPr>
      <w:r w:rsidRPr="00174E1C">
        <w:rPr>
          <w:b/>
          <w:sz w:val="24"/>
          <w:szCs w:val="24"/>
        </w:rPr>
        <w:t>2.</w:t>
      </w:r>
      <w:r w:rsidRPr="00174E1C">
        <w:rPr>
          <w:b/>
          <w:sz w:val="24"/>
          <w:szCs w:val="24"/>
        </w:rPr>
        <w:tab/>
      </w:r>
      <w:r w:rsidRPr="00174E1C">
        <w:rPr>
          <w:b/>
          <w:sz w:val="24"/>
          <w:szCs w:val="24"/>
        </w:rPr>
        <w:t xml:space="preserve">Summarize the objectives and outcomes identified in the Plan  </w:t>
      </w:r>
    </w:p>
    <w:p w:rsidRPr="00174E1C" w:rsidR="00777D08" w:rsidRDefault="00211F76" w14:paraId="21F879C5" w14:textId="77777777">
      <w:pPr>
        <w:rPr>
          <w:b/>
          <w:i/>
          <w:sz w:val="24"/>
          <w:szCs w:val="24"/>
        </w:rPr>
      </w:pPr>
      <w:r w:rsidRPr="00174E1C">
        <w:rPr>
          <w:i/>
          <w:sz w:val="24"/>
          <w:szCs w:val="24"/>
        </w:rPr>
        <w:t>This could be a restatement of items or a table listed elsewhere in the plan or a reference to another location.</w:t>
      </w:r>
      <w:r w:rsidRPr="00174E1C">
        <w:rPr>
          <w:i/>
        </w:rPr>
        <w:t xml:space="preserve"> </w:t>
      </w:r>
      <w:r w:rsidRPr="00174E1C">
        <w:rPr>
          <w:i/>
          <w:sz w:val="24"/>
          <w:szCs w:val="24"/>
        </w:rPr>
        <w:t>It may also contain any essential items from the housing and homeless needs assessment, the housing market analysis or the strategic plan.</w:t>
      </w:r>
    </w:p>
    <w:p w:rsidRPr="00174E1C" w:rsidR="00777D08" w:rsidRDefault="00211F76" w14:paraId="546446C4" w14:textId="77777777">
      <w:pPr>
        <w:spacing w:beforeAutospacing="1" w:afterAutospacing="1"/>
        <w:rPr>
          <w:rFonts w:cs="Arial"/>
        </w:rPr>
      </w:pPr>
      <w:r w:rsidRPr="00174E1C">
        <w:rPr>
          <w:rFonts w:cs="Arial"/>
        </w:rPr>
        <w:t>Affordable housing continues to be the City’s highest overall priority under this Consolidated Plan. Cost of housing, age of the housing stock and a low vacancy rate are three significant factors that contribute to the need for affordable housing in Burlington. For both renters and owners, at all income levels and across all household types, cost burden is the most pressing housing problem. Fifty five percent of all low- and moderate-renter households are cost-burdened. Cost burden is most acute among extremely low-income renters with 57% paying more than 30% of their income for housing.</w:t>
      </w:r>
    </w:p>
    <w:p w:rsidRPr="00ED22E1" w:rsidR="00CE0C4A" w:rsidRDefault="00211F76" w14:paraId="308DB0CD" w14:textId="1503D5FF">
      <w:pPr>
        <w:spacing w:beforeAutospacing="1" w:afterAutospacing="1"/>
        <w:rPr>
          <w:rFonts w:cs="Arial"/>
          <w:highlight w:val="lightGray"/>
        </w:rPr>
      </w:pPr>
      <w:r w:rsidRPr="00ED22E1">
        <w:rPr>
          <w:rFonts w:cs="Arial"/>
          <w:highlight w:val="lightGray"/>
        </w:rPr>
        <w:br/>
      </w:r>
      <w:r w:rsidRPr="00174E1C">
        <w:rPr>
          <w:rFonts w:cs="Arial"/>
        </w:rPr>
        <w:t xml:space="preserve">In the 2018 Consolidated Plan, it is noted that there </w:t>
      </w:r>
      <w:r w:rsidRPr="00174E1C" w:rsidR="00CB1C6B">
        <w:rPr>
          <w:rFonts w:cs="Arial"/>
        </w:rPr>
        <w:t>is</w:t>
      </w:r>
      <w:r w:rsidRPr="00174E1C">
        <w:rPr>
          <w:rFonts w:cs="Arial"/>
        </w:rPr>
        <w:t xml:space="preserve"> a total of 230 affordable units in the City whose affordability restrictions will expire during the Consolidated Plan. It is also noted that over 47% of the City’s housing stock was built before 1950. The County rental vacancy rate, which is measured every six months by the firm of Allen &amp; Brooks, runs below the national and regional rates, averaging </w:t>
      </w:r>
      <w:r w:rsidR="00843144">
        <w:rPr>
          <w:rFonts w:cs="Arial"/>
        </w:rPr>
        <w:t>1.</w:t>
      </w:r>
      <w:r w:rsidR="00676F44">
        <w:rPr>
          <w:rFonts w:cs="Arial"/>
        </w:rPr>
        <w:t>1</w:t>
      </w:r>
      <w:r w:rsidRPr="00174E1C" w:rsidR="00CE0C4A">
        <w:rPr>
          <w:rFonts w:cs="Arial"/>
        </w:rPr>
        <w:t xml:space="preserve">% </w:t>
      </w:r>
      <w:r w:rsidR="00676F44">
        <w:rPr>
          <w:rFonts w:cs="Arial"/>
        </w:rPr>
        <w:t>for both urban and suburban towns</w:t>
      </w:r>
      <w:r w:rsidR="00D36639">
        <w:rPr>
          <w:rFonts w:cs="Arial"/>
        </w:rPr>
        <w:t xml:space="preserve"> </w:t>
      </w:r>
      <w:r w:rsidRPr="00D36639" w:rsidR="00D36639">
        <w:rPr>
          <w:rFonts w:cs="Arial"/>
        </w:rPr>
        <w:t>b</w:t>
      </w:r>
      <w:r w:rsidRPr="00D36639" w:rsidR="00CE0C4A">
        <w:rPr>
          <w:rFonts w:cs="Arial"/>
        </w:rPr>
        <w:t>ased on</w:t>
      </w:r>
      <w:r w:rsidRPr="00D36639" w:rsidR="00D36639">
        <w:rPr>
          <w:rFonts w:cs="Arial"/>
        </w:rPr>
        <w:t xml:space="preserve"> the 2020 study. </w:t>
      </w:r>
    </w:p>
    <w:p w:rsidRPr="00ED22E1" w:rsidR="00777D08" w:rsidRDefault="00211F76" w14:paraId="4674526E" w14:textId="6A4E2126">
      <w:pPr>
        <w:spacing w:beforeAutospacing="1" w:afterAutospacing="1"/>
        <w:rPr>
          <w:rFonts w:cs="Arial"/>
          <w:highlight w:val="lightGray"/>
        </w:rPr>
      </w:pPr>
      <w:r w:rsidRPr="00ED22E1">
        <w:rPr>
          <w:rFonts w:cs="Arial"/>
          <w:highlight w:val="lightGray"/>
        </w:rPr>
        <w:br/>
      </w:r>
      <w:r w:rsidRPr="00174E1C">
        <w:rPr>
          <w:rFonts w:cs="Arial"/>
        </w:rPr>
        <w:t xml:space="preserve">Due to these factors, the following initiatives are on the City’s housing agenda during this </w:t>
      </w:r>
      <w:r w:rsidRPr="00174E1C" w:rsidR="00174E1C">
        <w:rPr>
          <w:rFonts w:cs="Arial"/>
        </w:rPr>
        <w:t>5-year</w:t>
      </w:r>
      <w:r w:rsidRPr="00174E1C">
        <w:rPr>
          <w:rFonts w:cs="Arial"/>
        </w:rPr>
        <w:t xml:space="preserve"> Consolidated Plan: preserving as many affordable units as possible; creating new affordable units, renovating rental and owner-occupied affordable housing and promoting homeownership among </w:t>
      </w:r>
      <w:r w:rsidRPr="00174E1C">
        <w:rPr>
          <w:rFonts w:cs="Arial"/>
        </w:rPr>
        <w:lastRenderedPageBreak/>
        <w:t>income-qualified households. The City views investment of CDBG funds into activities that help residents to become and/or remain housed and living independently as an effective investment.</w:t>
      </w:r>
    </w:p>
    <w:p w:rsidRPr="00ED22E1" w:rsidR="00777D08" w:rsidRDefault="00211F76" w14:paraId="778B1CBA" w14:textId="77777777">
      <w:pPr>
        <w:spacing w:beforeAutospacing="1" w:afterAutospacing="1"/>
        <w:rPr>
          <w:rFonts w:cs="Arial"/>
          <w:highlight w:val="lightGray"/>
        </w:rPr>
      </w:pPr>
      <w:r w:rsidRPr="00ED22E1">
        <w:rPr>
          <w:rFonts w:cs="Arial"/>
          <w:highlight w:val="lightGray"/>
        </w:rPr>
        <w:br/>
      </w:r>
      <w:r w:rsidRPr="00174E1C">
        <w:rPr>
          <w:rFonts w:cs="Arial"/>
        </w:rPr>
        <w:t>Economic opportunity is the City’s next highest priority. As the state’s largest city, Burlington must continue to be an economic engine for the region and state. The City uses CDBG to focus on job creation and retention through technical assistance for businesses, and to support low-income residents in business ownership through entrepreneurial training and loans. These effective and cost-efficient uses of CDBG resources create and retain businesses and jobs, leverage other resources, increase tax revenues to support City services, support local ownership, and revitalize neighborhoods.</w:t>
      </w:r>
    </w:p>
    <w:p w:rsidRPr="00ED22E1" w:rsidR="00777D08" w:rsidRDefault="00211F76" w14:paraId="2ED9F273" w14:textId="7E4A9062">
      <w:pPr>
        <w:spacing w:beforeAutospacing="1" w:afterAutospacing="1"/>
        <w:rPr>
          <w:rFonts w:cs="Arial"/>
          <w:highlight w:val="lightGray"/>
        </w:rPr>
      </w:pPr>
      <w:r w:rsidRPr="00ED22E1">
        <w:rPr>
          <w:rFonts w:cs="Arial"/>
          <w:highlight w:val="lightGray"/>
        </w:rPr>
        <w:br/>
      </w:r>
      <w:r w:rsidRPr="00174E1C">
        <w:rPr>
          <w:rFonts w:cs="Arial"/>
        </w:rPr>
        <w:t xml:space="preserve">The City has also historically used CDBG to address barriers to economic opportunity. Access to affordable, quality early child care is one example; this is an identified community priority and an activity with multiple </w:t>
      </w:r>
      <w:r w:rsidRPr="00174E1C" w:rsidR="00A64820">
        <w:rPr>
          <w:rFonts w:cs="Arial"/>
        </w:rPr>
        <w:t>long-term</w:t>
      </w:r>
      <w:r w:rsidRPr="00174E1C">
        <w:rPr>
          <w:rFonts w:cs="Arial"/>
        </w:rPr>
        <w:t xml:space="preserve"> impacts including: the ability of parents to get and keep a job, children’s success in school, reduction of public safety costs, and ultimately the quality of the local workforce. In addition, low income persons need assistance in filing tax returns and developing financial literacy. The City chooses to be flexible in its funding choices in this area in order to respond to shifting needs and resources, emerging opportunities and crises, and changing economic conditions. </w:t>
      </w:r>
    </w:p>
    <w:p w:rsidRPr="00ED22E1" w:rsidR="00777D08" w:rsidRDefault="00211F76" w14:paraId="7A36E863" w14:textId="351AD311">
      <w:pPr>
        <w:spacing w:beforeAutospacing="1" w:afterAutospacing="1"/>
        <w:rPr>
          <w:rFonts w:cs="Arial"/>
          <w:highlight w:val="lightGray"/>
        </w:rPr>
      </w:pPr>
      <w:r w:rsidRPr="00ED22E1">
        <w:rPr>
          <w:rFonts w:cs="Arial"/>
          <w:highlight w:val="lightGray"/>
        </w:rPr>
        <w:br/>
      </w:r>
      <w:r w:rsidRPr="00174E1C">
        <w:rPr>
          <w:rFonts w:cs="Arial"/>
        </w:rPr>
        <w:t>A suitable living environment is the City’s third priority overall. The City has a limited capacity to fund social services out of municipal resources, and has historically used the maximum (15%) available CDBG resources to support the provision of social services by local nonprofits. The City also uses CDBG to support public facilities and infrastructure, as well as nonprofit facilities, where there is support for the project and no other resources. Finally, the redevelopment of brownfields is a priority for the City because it meets multiple objectives: it increases the tax base, reduces environmental hazards and, often, allows for the productive reuse of historic structures.</w:t>
      </w:r>
    </w:p>
    <w:p w:rsidRPr="00FE02E9" w:rsidR="00777D08" w:rsidRDefault="00211F76" w14:paraId="2B781488" w14:textId="77777777">
      <w:pPr>
        <w:rPr>
          <w:b/>
          <w:sz w:val="24"/>
          <w:szCs w:val="24"/>
        </w:rPr>
      </w:pPr>
      <w:r w:rsidRPr="00FE02E9">
        <w:rPr>
          <w:b/>
          <w:sz w:val="24"/>
          <w:szCs w:val="24"/>
        </w:rPr>
        <w:t>3.</w:t>
      </w:r>
      <w:r w:rsidRPr="00FE02E9">
        <w:rPr>
          <w:b/>
          <w:sz w:val="24"/>
          <w:szCs w:val="24"/>
        </w:rPr>
        <w:tab/>
      </w:r>
      <w:r w:rsidRPr="00FE02E9">
        <w:rPr>
          <w:b/>
          <w:sz w:val="24"/>
          <w:szCs w:val="24"/>
        </w:rPr>
        <w:t xml:space="preserve">Evaluation of past performance </w:t>
      </w:r>
    </w:p>
    <w:p w:rsidRPr="00FE02E9" w:rsidR="00777D08" w:rsidRDefault="00211F76" w14:paraId="38B871AF" w14:textId="77777777">
      <w:pPr>
        <w:rPr>
          <w:b/>
          <w:i/>
          <w:sz w:val="24"/>
          <w:szCs w:val="24"/>
        </w:rPr>
      </w:pPr>
      <w:r w:rsidRPr="00FE02E9">
        <w:rPr>
          <w:i/>
          <w:sz w:val="24"/>
          <w:szCs w:val="24"/>
        </w:rPr>
        <w:t>This is an evaluation of past performance that helped lead the grantee to choose its goals or projects.</w:t>
      </w:r>
    </w:p>
    <w:p w:rsidRPr="00FE02E9" w:rsidR="00777D08" w:rsidRDefault="00211F76" w14:paraId="16EE1CF8" w14:textId="622F9A45">
      <w:pPr>
        <w:spacing w:beforeAutospacing="1" w:afterAutospacing="1"/>
        <w:rPr>
          <w:rFonts w:cs="Arial"/>
        </w:rPr>
      </w:pPr>
      <w:r w:rsidRPr="00FE02E9">
        <w:rPr>
          <w:rFonts w:cs="Arial"/>
        </w:rPr>
        <w:t>The 20</w:t>
      </w:r>
      <w:r w:rsidRPr="00FE02E9" w:rsidR="00361853">
        <w:rPr>
          <w:rFonts w:cs="Arial"/>
        </w:rPr>
        <w:t>2</w:t>
      </w:r>
      <w:r w:rsidRPr="00FE02E9" w:rsidR="00CB1C6B">
        <w:rPr>
          <w:rFonts w:cs="Arial"/>
        </w:rPr>
        <w:t xml:space="preserve">1 </w:t>
      </w:r>
      <w:r w:rsidRPr="00FE02E9">
        <w:rPr>
          <w:rFonts w:cs="Arial"/>
        </w:rPr>
        <w:t xml:space="preserve">Action Plan for the City of Burlington represents year </w:t>
      </w:r>
      <w:r w:rsidRPr="00FE02E9" w:rsidR="00CB1C6B">
        <w:rPr>
          <w:rFonts w:cs="Arial"/>
        </w:rPr>
        <w:t>4</w:t>
      </w:r>
      <w:r w:rsidRPr="00FE02E9">
        <w:rPr>
          <w:rFonts w:cs="Arial"/>
        </w:rPr>
        <w:t xml:space="preserve"> of the 5 Year 2018 - 2022 Consolidated Plan. Under the previous 2013 - 2017 Consolidated Plan we have completed five program years, the narrative below summarizes the progress made on goals set in 2013. </w:t>
      </w:r>
    </w:p>
    <w:p w:rsidRPr="00FE02E9" w:rsidR="00777D08" w:rsidRDefault="00211F76" w14:paraId="47DA1A21" w14:textId="77777777">
      <w:pPr>
        <w:spacing w:beforeAutospacing="1" w:afterAutospacing="1"/>
        <w:rPr>
          <w:rFonts w:cs="Arial"/>
        </w:rPr>
      </w:pPr>
      <w:r w:rsidRPr="00FE02E9">
        <w:rPr>
          <w:rFonts w:cs="Arial"/>
          <w:b/>
        </w:rPr>
        <w:t>Outcome - increase the availability of/access to decent housing.</w:t>
      </w:r>
      <w:r w:rsidRPr="00FE02E9">
        <w:rPr>
          <w:rFonts w:cs="Arial"/>
        </w:rPr>
        <w:t xml:space="preserve"> Two of our goals were met at or above 100%, one goal was met at 80%, and two goals were not met. With the new direction from HUD, the </w:t>
      </w:r>
      <w:r w:rsidRPr="00FE02E9">
        <w:rPr>
          <w:rFonts w:cs="Arial"/>
        </w:rPr>
        <w:lastRenderedPageBreak/>
        <w:t>City’s goal of 10 transitional units was not pursued. The goal of 36 new special needs units (for seniors) overlapped a completion of Thayer Commons in 2012 yet it went into the 2013 Consolidated Plan.</w:t>
      </w:r>
    </w:p>
    <w:p w:rsidRPr="00FE02E9" w:rsidR="00777D08" w:rsidRDefault="00211F76" w14:paraId="15293B22" w14:textId="77777777">
      <w:pPr>
        <w:spacing w:beforeAutospacing="1" w:afterAutospacing="1"/>
        <w:rPr>
          <w:rFonts w:cs="Arial"/>
        </w:rPr>
      </w:pPr>
      <w:r w:rsidRPr="00FE02E9">
        <w:rPr>
          <w:rFonts w:cs="Arial"/>
          <w:b/>
        </w:rPr>
        <w:t xml:space="preserve">Outcome - Increase the affordability of decent housing: </w:t>
      </w:r>
      <w:r w:rsidRPr="00FE02E9">
        <w:rPr>
          <w:rFonts w:cs="Arial"/>
        </w:rPr>
        <w:t>Two goals were met at or above 100% and the goal of producing new affordable homeowner units achieved 66% of the goal.</w:t>
      </w:r>
    </w:p>
    <w:p w:rsidRPr="00FE02E9" w:rsidR="00777D08" w:rsidRDefault="00211F76" w14:paraId="69CE4457" w14:textId="77777777">
      <w:pPr>
        <w:spacing w:beforeAutospacing="1" w:afterAutospacing="1"/>
        <w:rPr>
          <w:rFonts w:cs="Arial"/>
        </w:rPr>
      </w:pPr>
      <w:r w:rsidRPr="00FE02E9">
        <w:rPr>
          <w:rFonts w:cs="Arial"/>
          <w:b/>
        </w:rPr>
        <w:t>Outcome - increase the sustainability of decent housing:</w:t>
      </w:r>
      <w:r w:rsidRPr="00FE02E9">
        <w:rPr>
          <w:rFonts w:cs="Arial"/>
        </w:rPr>
        <w:t xml:space="preserve"> The goal of housing retention exceeded 100%. Two goals, preservation and upgrading housing and rehabilitation of homeowner units achieved over 85% of the goal whereas the rehabilitation of rental units reached 78% because one rehab project of over 50 units is still in the works.</w:t>
      </w:r>
    </w:p>
    <w:p w:rsidRPr="00FE02E9" w:rsidR="00777D08" w:rsidRDefault="00211F76" w14:paraId="2920B844" w14:textId="77777777">
      <w:pPr>
        <w:spacing w:beforeAutospacing="1" w:afterAutospacing="1"/>
        <w:rPr>
          <w:rFonts w:cs="Arial"/>
        </w:rPr>
      </w:pPr>
      <w:r w:rsidRPr="00FE02E9">
        <w:rPr>
          <w:rFonts w:cs="Arial"/>
          <w:b/>
        </w:rPr>
        <w:t>Outcome - increase the availability of/access to economic opportunity:</w:t>
      </w:r>
      <w:r w:rsidRPr="00FE02E9">
        <w:rPr>
          <w:rFonts w:cs="Arial"/>
        </w:rPr>
        <w:t xml:space="preserve"> All goals were met at or above 100%.</w:t>
      </w:r>
    </w:p>
    <w:p w:rsidRPr="00FE02E9" w:rsidR="00777D08" w:rsidRDefault="00211F76" w14:paraId="6749C970" w14:textId="77777777">
      <w:pPr>
        <w:spacing w:beforeAutospacing="1" w:afterAutospacing="1"/>
        <w:rPr>
          <w:rFonts w:cs="Arial"/>
        </w:rPr>
      </w:pPr>
      <w:r w:rsidRPr="00FE02E9">
        <w:rPr>
          <w:rFonts w:cs="Arial"/>
          <w:b/>
        </w:rPr>
        <w:t>Outcome - increase the sustainability of economic opportunity:</w:t>
      </w:r>
      <w:r w:rsidRPr="00FE02E9">
        <w:rPr>
          <w:rFonts w:cs="Arial"/>
        </w:rPr>
        <w:t xml:space="preserve"> One goal, access to resources, achieved over 100% of the goal set. The second goal of reducing economic barriers through child care achieved 57% of the goal because several early childhood education programs decided to no longer apply for CDBG funding.</w:t>
      </w:r>
    </w:p>
    <w:p w:rsidRPr="00FE02E9" w:rsidR="00777D08" w:rsidRDefault="00211F76" w14:paraId="14C1CB7F" w14:textId="77777777">
      <w:pPr>
        <w:spacing w:beforeAutospacing="1" w:afterAutospacing="1"/>
        <w:rPr>
          <w:rFonts w:cs="Arial"/>
        </w:rPr>
      </w:pPr>
      <w:r w:rsidRPr="00FE02E9">
        <w:rPr>
          <w:rFonts w:cs="Arial"/>
          <w:b/>
        </w:rPr>
        <w:t>Outcome - increase the availability of /access to a suitable living environment</w:t>
      </w:r>
      <w:r w:rsidRPr="00FE02E9">
        <w:rPr>
          <w:rFonts w:cs="Arial"/>
        </w:rPr>
        <w:t>: Three of the 4 goals achieved 100% or above over the five years. One goal, provide public services for at risk population with food insecurity, only achieved 30% of the goal because the Food Shelf no longer applied for public services funding after the first year due to the change in delivery of CDBG funds.</w:t>
      </w:r>
    </w:p>
    <w:p w:rsidRPr="00FE02E9" w:rsidR="00777D08" w:rsidRDefault="00211F76" w14:paraId="69A879A3" w14:textId="77777777">
      <w:pPr>
        <w:spacing w:beforeAutospacing="1" w:afterAutospacing="1"/>
        <w:rPr>
          <w:rFonts w:cs="Arial"/>
        </w:rPr>
      </w:pPr>
      <w:r w:rsidRPr="00FE02E9">
        <w:rPr>
          <w:rFonts w:cs="Arial"/>
          <w:b/>
        </w:rPr>
        <w:t xml:space="preserve">Outcome - increase the sustainability of a suitable living environment: </w:t>
      </w:r>
      <w:r w:rsidRPr="00FE02E9">
        <w:rPr>
          <w:rFonts w:cs="Arial"/>
        </w:rPr>
        <w:t>This goal achieved a 70% success rate with the number of facilities improved. Because renovation projects take a long time to plan and execute, there are 3 projects still in process which will be counted next year.</w:t>
      </w:r>
    </w:p>
    <w:p w:rsidRPr="00FE02E9" w:rsidR="00777D08" w:rsidRDefault="00211F76" w14:paraId="7F4F4C62" w14:textId="77777777">
      <w:pPr>
        <w:spacing w:beforeAutospacing="1" w:afterAutospacing="1"/>
        <w:rPr>
          <w:rFonts w:cs="Arial"/>
        </w:rPr>
      </w:pPr>
      <w:r w:rsidRPr="00FE02E9">
        <w:rPr>
          <w:rFonts w:cs="Arial"/>
        </w:rPr>
        <w:t>Overall, the City of Burlington achieved successful completion of 16 of the 23 goals set in 2013.</w:t>
      </w:r>
    </w:p>
    <w:p w:rsidRPr="00FE02E9" w:rsidR="00777D08" w:rsidP="00F210B0" w:rsidRDefault="00FB50AA" w14:paraId="20325A91" w14:textId="0AF83477">
      <w:pPr>
        <w:spacing w:before="100" w:beforeAutospacing="1" w:after="100" w:afterAutospacing="1"/>
        <w:rPr>
          <w:rFonts w:cs="Arial"/>
        </w:rPr>
      </w:pPr>
      <w:r w:rsidRPr="00FE02E9">
        <w:rPr>
          <w:rFonts w:cs="Arial"/>
        </w:rPr>
        <w:t>Per the Consolidated plan, t</w:t>
      </w:r>
      <w:r w:rsidRPr="00FE02E9" w:rsidR="00211F76">
        <w:rPr>
          <w:rFonts w:cs="Arial"/>
        </w:rPr>
        <w:t xml:space="preserve">he City </w:t>
      </w:r>
      <w:r w:rsidRPr="00FE02E9">
        <w:rPr>
          <w:rFonts w:cs="Arial"/>
        </w:rPr>
        <w:t>will continue to</w:t>
      </w:r>
      <w:r w:rsidRPr="00FE02E9" w:rsidR="00211F76">
        <w:rPr>
          <w:rFonts w:cs="Arial"/>
        </w:rPr>
        <w:t xml:space="preserve"> spend 75% of its CDBG and HOME dollars on high priority activities to include most housing and economic development projects. The remaining 25% is spent on medium priority activities. Burlington </w:t>
      </w:r>
      <w:r w:rsidRPr="00FE02E9">
        <w:rPr>
          <w:rFonts w:cs="Arial"/>
        </w:rPr>
        <w:t>aims to spend over 95% of</w:t>
      </w:r>
      <w:r w:rsidRPr="00FE02E9" w:rsidR="00211F76">
        <w:rPr>
          <w:rFonts w:cs="Arial"/>
        </w:rPr>
        <w:t xml:space="preserve"> expenditures assisting low-and </w:t>
      </w:r>
      <w:r w:rsidRPr="00FE02E9" w:rsidR="00CB1C6B">
        <w:rPr>
          <w:rFonts w:cs="Arial"/>
        </w:rPr>
        <w:t>moderate-income</w:t>
      </w:r>
      <w:r w:rsidRPr="00FE02E9" w:rsidR="00211F76">
        <w:rPr>
          <w:rFonts w:cs="Arial"/>
        </w:rPr>
        <w:t xml:space="preserve"> persons. </w:t>
      </w:r>
    </w:p>
    <w:p w:rsidRPr="00FD1C2E" w:rsidR="00777D08" w:rsidRDefault="00211F76" w14:paraId="46C93608" w14:textId="77777777">
      <w:pPr>
        <w:rPr>
          <w:b/>
          <w:sz w:val="24"/>
          <w:szCs w:val="24"/>
        </w:rPr>
      </w:pPr>
      <w:r w:rsidRPr="00FD1C2E">
        <w:rPr>
          <w:b/>
          <w:sz w:val="24"/>
          <w:szCs w:val="24"/>
        </w:rPr>
        <w:t>4.</w:t>
      </w:r>
      <w:r w:rsidRPr="00FD1C2E">
        <w:rPr>
          <w:b/>
          <w:sz w:val="24"/>
          <w:szCs w:val="24"/>
        </w:rPr>
        <w:tab/>
      </w:r>
      <w:r w:rsidRPr="00FD1C2E">
        <w:rPr>
          <w:b/>
          <w:sz w:val="24"/>
          <w:szCs w:val="24"/>
        </w:rPr>
        <w:t xml:space="preserve">Summary of Citizen Participation Process and consultation process </w:t>
      </w:r>
    </w:p>
    <w:p w:rsidRPr="00FD1C2E" w:rsidR="00777D08" w:rsidRDefault="00211F76" w14:paraId="302AA414" w14:textId="77777777">
      <w:pPr>
        <w:rPr>
          <w:b/>
          <w:i/>
          <w:sz w:val="24"/>
          <w:szCs w:val="24"/>
        </w:rPr>
      </w:pPr>
      <w:r w:rsidRPr="00FD1C2E">
        <w:rPr>
          <w:i/>
          <w:sz w:val="24"/>
          <w:szCs w:val="24"/>
        </w:rPr>
        <w:t>Summary from citizen participation section of plan.</w:t>
      </w:r>
    </w:p>
    <w:p w:rsidRPr="00FD1C2E" w:rsidR="00777D08" w:rsidP="5E4E5A20" w:rsidRDefault="553263EB" w14:paraId="6EE55E91" w14:textId="319668C4">
      <w:pPr>
        <w:spacing w:beforeAutospacing="1" w:afterAutospacing="1"/>
        <w:rPr>
          <w:rFonts w:cs="Arial"/>
        </w:rPr>
      </w:pPr>
      <w:r w:rsidRPr="5E4E5A20">
        <w:rPr>
          <w:rFonts w:cs="Arial"/>
        </w:rPr>
        <w:t xml:space="preserve">The Community &amp; Economic Development Office is the lead agency responsible for overseeing the development of the Action Plan and for administering the CDBG and HOME programs.  The Citizen </w:t>
      </w:r>
      <w:r w:rsidRPr="5E4E5A20">
        <w:rPr>
          <w:rFonts w:cs="Arial"/>
        </w:rPr>
        <w:lastRenderedPageBreak/>
        <w:t>Participation Plan</w:t>
      </w:r>
      <w:r w:rsidRPr="5E4E5A20" w:rsidR="39828898">
        <w:rPr>
          <w:rFonts w:cs="Arial"/>
        </w:rPr>
        <w:t xml:space="preserve"> </w:t>
      </w:r>
      <w:r w:rsidRPr="5E4E5A20">
        <w:rPr>
          <w:rFonts w:cs="Arial"/>
        </w:rPr>
        <w:t xml:space="preserve">was followed for the development of this Plan. </w:t>
      </w:r>
      <w:r w:rsidR="006407F1">
        <w:rPr>
          <w:rFonts w:cs="Arial"/>
        </w:rPr>
        <w:t xml:space="preserve">A </w:t>
      </w:r>
      <w:r w:rsidRPr="5E4E5A20">
        <w:rPr>
          <w:rFonts w:cs="Arial"/>
        </w:rPr>
        <w:t>Public hearing w</w:t>
      </w:r>
      <w:r w:rsidR="006407F1">
        <w:rPr>
          <w:rFonts w:cs="Arial"/>
        </w:rPr>
        <w:t>as</w:t>
      </w:r>
      <w:r w:rsidRPr="5E4E5A20">
        <w:rPr>
          <w:rFonts w:cs="Arial"/>
        </w:rPr>
        <w:t xml:space="preserve"> held </w:t>
      </w:r>
      <w:r w:rsidRPr="5E4E5A20" w:rsidR="39828898">
        <w:rPr>
          <w:rFonts w:cs="Arial"/>
        </w:rPr>
        <w:t>on</w:t>
      </w:r>
      <w:r w:rsidR="006407F1">
        <w:rPr>
          <w:rFonts w:cs="Arial"/>
        </w:rPr>
        <w:t xml:space="preserve"> April 26</w:t>
      </w:r>
      <w:r w:rsidRPr="006407F1" w:rsidR="006407F1">
        <w:rPr>
          <w:rFonts w:cs="Arial"/>
          <w:vertAlign w:val="superscript"/>
        </w:rPr>
        <w:t>th</w:t>
      </w:r>
      <w:r w:rsidR="006407F1">
        <w:rPr>
          <w:rFonts w:cs="Arial"/>
        </w:rPr>
        <w:t>, 2021 at a City Council meeting</w:t>
      </w:r>
      <w:r w:rsidRPr="006407F1">
        <w:rPr>
          <w:rFonts w:cs="Arial"/>
        </w:rPr>
        <w:t>.</w:t>
      </w:r>
      <w:r w:rsidRPr="5E4E5A20">
        <w:rPr>
          <w:rFonts w:cs="Arial"/>
        </w:rPr>
        <w:t xml:space="preserve"> The hearing w</w:t>
      </w:r>
      <w:r w:rsidR="006407F1">
        <w:rPr>
          <w:rFonts w:cs="Arial"/>
        </w:rPr>
        <w:t>as</w:t>
      </w:r>
      <w:r w:rsidRPr="5E4E5A20">
        <w:rPr>
          <w:rFonts w:cs="Arial"/>
        </w:rPr>
        <w:t xml:space="preserve"> published in a local paper. Organizations were consulted, including the Continuum of Care.</w:t>
      </w:r>
    </w:p>
    <w:p w:rsidRPr="00FE02E9" w:rsidR="00777D08" w:rsidRDefault="00211F76" w14:paraId="7069CF91" w14:textId="77777777">
      <w:pPr>
        <w:spacing w:beforeAutospacing="1" w:afterAutospacing="1"/>
        <w:rPr>
          <w:rFonts w:cs="Arial"/>
        </w:rPr>
      </w:pPr>
      <w:r w:rsidRPr="00FE02E9">
        <w:rPr>
          <w:rFonts w:cs="Arial"/>
        </w:rPr>
        <w:t>The most meaningful way in which Burlington residents participate in the Action Plan process is their involvement in the nuts and bolts of spending decisions.  Each of the City’s eight wards (Neighborhood Planning Assemblies) elects a representative to the CDBG Advisory Board; and collectively, those residents have a majority voice in making recommendations to the Mayor about how to spend the City’s CDBG funding each year. The NPAs are grassroots associations, created by City Charter, which exist in each of the City’s wards and which meet monthly as organized, democratic forums where neighbors can learn about public issues that affect them and advise city government of their concerns and needs. The Board’s recommendations have traditionally been adopted without change by the Mayor and City Council. </w:t>
      </w:r>
    </w:p>
    <w:p w:rsidRPr="00FE02E9" w:rsidR="00777D08" w:rsidRDefault="00211F76" w14:paraId="264CE749" w14:textId="77777777">
      <w:pPr>
        <w:spacing w:beforeAutospacing="1" w:afterAutospacing="1"/>
        <w:rPr>
          <w:rFonts w:cs="Arial"/>
        </w:rPr>
      </w:pPr>
      <w:r w:rsidRPr="00FE02E9">
        <w:rPr>
          <w:rFonts w:cs="Arial"/>
        </w:rPr>
        <w:t>The City engaged in alternative public involvement techniques during the development of this Plan. The Plan was posted on the City’s website and citizens were invited to comment via social media and email lists. </w:t>
      </w:r>
    </w:p>
    <w:p w:rsidRPr="005216CA" w:rsidR="00777D08" w:rsidRDefault="00211F76" w14:paraId="6F51ADDD" w14:textId="656BE213">
      <w:pPr>
        <w:spacing w:beforeAutospacing="1" w:afterAutospacing="1"/>
        <w:rPr>
          <w:rFonts w:cs="Arial"/>
        </w:rPr>
      </w:pPr>
      <w:r w:rsidRPr="005216CA">
        <w:rPr>
          <w:rFonts w:cs="Arial"/>
        </w:rPr>
        <w:t xml:space="preserve">The public comment period </w:t>
      </w:r>
      <w:r w:rsidRPr="005216CA" w:rsidR="00D2262F">
        <w:rPr>
          <w:rFonts w:cs="Arial"/>
        </w:rPr>
        <w:t xml:space="preserve">will begin </w:t>
      </w:r>
      <w:r w:rsidRPr="005216CA" w:rsidR="007B7E2C">
        <w:rPr>
          <w:rFonts w:cs="Arial"/>
        </w:rPr>
        <w:t>on April 9, 2021 and end on May 9, 2021.</w:t>
      </w:r>
    </w:p>
    <w:p w:rsidRPr="007B7E2C" w:rsidR="00777D08" w:rsidRDefault="00211F76" w14:paraId="2B87E907" w14:textId="77777777">
      <w:pPr>
        <w:rPr>
          <w:b/>
          <w:sz w:val="24"/>
          <w:szCs w:val="24"/>
        </w:rPr>
      </w:pPr>
      <w:r w:rsidRPr="007B7E2C">
        <w:rPr>
          <w:b/>
          <w:sz w:val="24"/>
          <w:szCs w:val="24"/>
        </w:rPr>
        <w:t>5.</w:t>
      </w:r>
      <w:r w:rsidRPr="007B7E2C">
        <w:rPr>
          <w:b/>
          <w:sz w:val="24"/>
          <w:szCs w:val="24"/>
        </w:rPr>
        <w:tab/>
      </w:r>
      <w:r w:rsidRPr="007B7E2C">
        <w:rPr>
          <w:b/>
          <w:sz w:val="24"/>
          <w:szCs w:val="24"/>
        </w:rPr>
        <w:t>Summary of public comments</w:t>
      </w:r>
    </w:p>
    <w:p w:rsidRPr="007B7E2C" w:rsidR="00777D08" w:rsidRDefault="00211F76" w14:paraId="18038132" w14:textId="77777777">
      <w:pPr>
        <w:rPr>
          <w:sz w:val="24"/>
          <w:szCs w:val="24"/>
        </w:rPr>
      </w:pPr>
      <w:r w:rsidRPr="007B7E2C">
        <w:rPr>
          <w:sz w:val="24"/>
          <w:szCs w:val="24"/>
        </w:rPr>
        <w:t>This could be a brief narrative summary or reference an attached document from the Citizen Participation section of the Con Plan.</w:t>
      </w:r>
    </w:p>
    <w:p w:rsidR="004E01C4" w:rsidP="004E01C4" w:rsidRDefault="004E01C4" w14:paraId="6021CBEF" w14:textId="77777777">
      <w:pPr>
        <w:rPr>
          <w:rFonts w:cs="Calibri"/>
        </w:rPr>
      </w:pPr>
      <w:r w:rsidRPr="004E01C4">
        <w:t>The 2021 Action Plan and 2020 Action Plan amendments, along with the proposed allocations, was the subject of a Public Hearing at the April 26</w:t>
      </w:r>
      <w:r w:rsidRPr="004E01C4">
        <w:rPr>
          <w:vertAlign w:val="superscript"/>
        </w:rPr>
        <w:t>th</w:t>
      </w:r>
      <w:r w:rsidRPr="004E01C4">
        <w:t xml:space="preserve">, 2021 City Council meeting.  The Public Hearing and the Plans were duly advertised and available for 30 days of public comment as permitted by HUD. Two members from the public provided comments, in regards to the 2021 Action Plan. </w:t>
      </w:r>
      <w:r w:rsidRPr="004E01C4">
        <w:rPr>
          <w:rFonts w:cs="Calibri"/>
        </w:rPr>
        <w:t>These comments requested that more extensive outreach be conducted by the City in order to solicit input from its housing insecure/homeless population. The City accepts this input and will incorporate additional outreach efforts to better understand unique community perspectives to enable the City to be more effective in addressing housing insecure and homeless needs.</w:t>
      </w:r>
    </w:p>
    <w:p w:rsidRPr="004E01C4" w:rsidR="004E01C4" w:rsidP="004E01C4" w:rsidRDefault="004E01C4" w14:paraId="0F5E7150" w14:textId="0B998265">
      <w:pPr>
        <w:rPr>
          <w:rFonts w:cs="Calibri"/>
        </w:rPr>
      </w:pPr>
      <w:r w:rsidRPr="004E01C4">
        <w:t xml:space="preserve">A comment was also made on the successes of the most recently established Daytime Warming Center at the VFH and the need to continue this program into the warmer months. While the City accepts this comment and agrees with recognizing the success of the Daytime Warming Center program, we did not receive an application from a community partner to be able to fund this program with the CDBG funds available in the 2020 and 2021 Action Plans at this time. CEDO is actively seeking alternative funding and suitable community partners to continue these important services to the community experiencing homelessness in Burlington. </w:t>
      </w:r>
    </w:p>
    <w:p w:rsidRPr="004E01C4" w:rsidR="004E01C4" w:rsidP="004E01C4" w:rsidRDefault="004E01C4" w14:paraId="16248FD1" w14:textId="77777777"/>
    <w:p w:rsidRPr="004E01C4" w:rsidR="004E01C4" w:rsidP="004E01C4" w:rsidRDefault="004E01C4" w14:paraId="2B58694B" w14:textId="77777777"/>
    <w:p w:rsidR="007B7E2C" w:rsidRDefault="007B7E2C" w14:paraId="0DA0A437" w14:textId="77777777">
      <w:pPr>
        <w:rPr>
          <w:b/>
          <w:sz w:val="24"/>
          <w:szCs w:val="24"/>
          <w:highlight w:val="lightGray"/>
        </w:rPr>
      </w:pPr>
    </w:p>
    <w:p w:rsidRPr="007B7E2C" w:rsidR="00777D08" w:rsidRDefault="00211F76" w14:paraId="213A15B1" w14:textId="3648458B">
      <w:pPr>
        <w:rPr>
          <w:b/>
          <w:sz w:val="24"/>
          <w:szCs w:val="24"/>
        </w:rPr>
      </w:pPr>
      <w:r w:rsidRPr="007B7E2C">
        <w:rPr>
          <w:b/>
          <w:sz w:val="24"/>
          <w:szCs w:val="24"/>
        </w:rPr>
        <w:t>6.</w:t>
      </w:r>
      <w:r w:rsidRPr="007B7E2C">
        <w:rPr>
          <w:b/>
          <w:sz w:val="24"/>
          <w:szCs w:val="24"/>
        </w:rPr>
        <w:tab/>
      </w:r>
      <w:r w:rsidRPr="007B7E2C">
        <w:rPr>
          <w:b/>
          <w:sz w:val="24"/>
          <w:szCs w:val="24"/>
        </w:rPr>
        <w:t>Summary of comments or views not accepted and the reasons for not accepting them</w:t>
      </w:r>
    </w:p>
    <w:p w:rsidRPr="0051710C" w:rsidR="00665350" w:rsidP="007B7E2C" w:rsidRDefault="0051710C" w14:paraId="2DC152ED" w14:textId="055D7DD3">
      <w:pPr>
        <w:spacing w:after="0" w:line="259" w:lineRule="auto"/>
        <w:ind w:firstLine="720"/>
      </w:pPr>
      <w:r w:rsidRPr="0051710C">
        <w:t xml:space="preserve">All comments were accepted. </w:t>
      </w:r>
    </w:p>
    <w:p w:rsidRPr="00ED22E1" w:rsidR="00CB1FD2" w:rsidP="00CB1FD2" w:rsidRDefault="00CB1FD2" w14:paraId="1B9062FE" w14:textId="72A7810C">
      <w:pPr>
        <w:spacing w:after="160" w:line="259" w:lineRule="auto"/>
        <w:rPr>
          <w:sz w:val="16"/>
          <w:highlight w:val="lightGray"/>
        </w:rPr>
      </w:pPr>
    </w:p>
    <w:p w:rsidRPr="00FE02E9" w:rsidR="00777D08" w:rsidP="00CB1FD2" w:rsidRDefault="00CB1FD2" w14:paraId="701B1D85" w14:textId="0D326E9D">
      <w:pPr>
        <w:rPr>
          <w:b/>
          <w:sz w:val="24"/>
          <w:szCs w:val="24"/>
        </w:rPr>
      </w:pPr>
      <w:r w:rsidRPr="00FE02E9">
        <w:rPr>
          <w:b/>
          <w:sz w:val="24"/>
          <w:szCs w:val="24"/>
        </w:rPr>
        <w:t xml:space="preserve"> </w:t>
      </w:r>
      <w:r w:rsidRPr="00FE02E9" w:rsidR="00211F76">
        <w:rPr>
          <w:b/>
          <w:sz w:val="24"/>
          <w:szCs w:val="24"/>
        </w:rPr>
        <w:t>7.</w:t>
      </w:r>
      <w:r w:rsidRPr="00FE02E9" w:rsidR="00211F76">
        <w:rPr>
          <w:b/>
          <w:sz w:val="24"/>
          <w:szCs w:val="24"/>
        </w:rPr>
        <w:tab/>
      </w:r>
      <w:r w:rsidRPr="00FE02E9" w:rsidR="00211F76">
        <w:rPr>
          <w:b/>
          <w:sz w:val="24"/>
          <w:szCs w:val="24"/>
        </w:rPr>
        <w:t>Summary</w:t>
      </w:r>
    </w:p>
    <w:p w:rsidRPr="00FE02E9" w:rsidR="00777D08" w:rsidRDefault="00211F76" w14:paraId="5B486B74" w14:textId="55317BDB">
      <w:pPr>
        <w:spacing w:beforeAutospacing="1" w:afterAutospacing="1"/>
        <w:rPr>
          <w:rFonts w:cs="Arial"/>
        </w:rPr>
      </w:pPr>
      <w:r w:rsidRPr="00FE02E9">
        <w:rPr>
          <w:rFonts w:cs="Arial"/>
        </w:rPr>
        <w:t>To summarize, the following document represents the housing, community and economic development needs and priorities as well as the chosen projects and activities to implement for the City of Burlington's 20</w:t>
      </w:r>
      <w:r w:rsidRPr="00FE02E9" w:rsidR="00361853">
        <w:rPr>
          <w:rFonts w:cs="Arial"/>
        </w:rPr>
        <w:t>2</w:t>
      </w:r>
      <w:r w:rsidRPr="00FE02E9" w:rsidR="005E5816">
        <w:rPr>
          <w:rFonts w:cs="Arial"/>
        </w:rPr>
        <w:t>1</w:t>
      </w:r>
      <w:r w:rsidRPr="00FE02E9">
        <w:rPr>
          <w:rFonts w:cs="Arial"/>
        </w:rPr>
        <w:t xml:space="preserve"> Action Plan.</w:t>
      </w:r>
    </w:p>
    <w:p w:rsidRPr="00ED22E1" w:rsidR="00777D08" w:rsidRDefault="00777D08" w14:paraId="044F2FF7" w14:textId="77777777">
      <w:pPr>
        <w:pStyle w:val="Heading2"/>
        <w:pageBreakBefore/>
        <w:rPr>
          <w:rFonts w:ascii="Calibri" w:hAnsi="Calibri"/>
          <w:i w:val="0"/>
          <w:highlight w:val="lightGray"/>
        </w:rPr>
        <w:sectPr w:rsidRPr="00ED22E1" w:rsidR="00777D08">
          <w:headerReference w:type="default" r:id="rId12"/>
          <w:footerReference w:type="default" r:id="rId13"/>
          <w:pgSz w:w="12240" w:h="15840" w:orient="portrait"/>
          <w:pgMar w:top="1440" w:right="1440" w:bottom="1440" w:left="1440" w:header="720" w:footer="720" w:gutter="0"/>
          <w:cols w:space="720"/>
          <w:docGrid w:linePitch="360"/>
        </w:sectPr>
      </w:pPr>
    </w:p>
    <w:p w:rsidRPr="007E7A4A" w:rsidR="00777D08" w:rsidRDefault="00211F76" w14:paraId="6CEFBCA4" w14:textId="77777777">
      <w:pPr>
        <w:pStyle w:val="Heading2"/>
        <w:pageBreakBefore/>
        <w:rPr>
          <w:rFonts w:ascii="Calibri" w:hAnsi="Calibri"/>
          <w:i w:val="0"/>
        </w:rPr>
      </w:pPr>
      <w:r w:rsidRPr="007E7A4A">
        <w:rPr>
          <w:rFonts w:ascii="Calibri" w:hAnsi="Calibri"/>
          <w:i w:val="0"/>
        </w:rPr>
        <w:lastRenderedPageBreak/>
        <w:t>PR-05 Lead &amp; Responsible Agencies – 91.200(b)</w:t>
      </w:r>
    </w:p>
    <w:p w:rsidRPr="007E7A4A" w:rsidR="00777D08" w:rsidRDefault="00211F76" w14:paraId="4424DC55" w14:textId="77777777">
      <w:pPr>
        <w:keepNext/>
        <w:rPr>
          <w:b/>
          <w:sz w:val="24"/>
          <w:szCs w:val="24"/>
        </w:rPr>
      </w:pPr>
      <w:r w:rsidRPr="007E7A4A">
        <w:rPr>
          <w:b/>
          <w:sz w:val="24"/>
          <w:szCs w:val="24"/>
        </w:rPr>
        <w:t>1.</w:t>
      </w:r>
      <w:r w:rsidRPr="007E7A4A">
        <w:rPr>
          <w:b/>
          <w:sz w:val="24"/>
          <w:szCs w:val="24"/>
        </w:rPr>
        <w:tab/>
      </w:r>
      <w:r w:rsidRPr="007E7A4A">
        <w:rPr>
          <w:b/>
          <w:sz w:val="24"/>
          <w:szCs w:val="24"/>
        </w:rPr>
        <w:t>Agency/entity responsible for preparing/administering the Consolidated Plan</w:t>
      </w:r>
    </w:p>
    <w:p w:rsidRPr="007E7A4A" w:rsidR="00777D08" w:rsidRDefault="00211F76" w14:paraId="5525935A" w14:textId="77777777">
      <w:pPr>
        <w:keepNext/>
        <w:rPr>
          <w:i/>
          <w:sz w:val="24"/>
          <w:szCs w:val="24"/>
        </w:rPr>
      </w:pPr>
      <w:r w:rsidRPr="007E7A4A">
        <w:rPr>
          <w:i/>
          <w:sz w:val="24"/>
          <w:szCs w:val="24"/>
        </w:rPr>
        <w:t>Describe the agency/entity responsible for preparing the Consolidated Plan and those responsible for administration of each grant program and funding source.</w:t>
      </w:r>
    </w:p>
    <w:tbl>
      <w:tblPr>
        <w:tblW w:w="129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37"/>
        <w:gridCol w:w="3855"/>
        <w:gridCol w:w="5158"/>
      </w:tblGrid>
      <w:tr w:rsidRPr="007E7A4A" w:rsidR="00777D08" w:rsidTr="0090674B" w14:paraId="6E06D2D5" w14:textId="77777777">
        <w:trPr>
          <w:cantSplit/>
          <w:tblHeader/>
        </w:trPr>
        <w:tc>
          <w:tcPr>
            <w:tcW w:w="3937" w:type="dxa"/>
          </w:tcPr>
          <w:p w:rsidRPr="007E7A4A" w:rsidR="00777D08" w:rsidRDefault="00211F76" w14:paraId="1D92C1CF" w14:textId="77777777">
            <w:pPr>
              <w:keepNext/>
              <w:widowControl w:val="0"/>
              <w:spacing w:after="0" w:line="240" w:lineRule="auto"/>
              <w:jc w:val="center"/>
              <w:rPr>
                <w:b/>
                <w:bCs/>
              </w:rPr>
            </w:pPr>
            <w:r w:rsidRPr="007E7A4A">
              <w:rPr>
                <w:b/>
                <w:bCs/>
              </w:rPr>
              <w:t>Agency Role</w:t>
            </w:r>
          </w:p>
        </w:tc>
        <w:tc>
          <w:tcPr>
            <w:tcW w:w="3855" w:type="dxa"/>
          </w:tcPr>
          <w:p w:rsidRPr="007E7A4A" w:rsidR="00777D08" w:rsidRDefault="00211F76" w14:paraId="2221DB12" w14:textId="77777777">
            <w:pPr>
              <w:keepNext/>
              <w:widowControl w:val="0"/>
              <w:spacing w:after="0" w:line="240" w:lineRule="auto"/>
              <w:jc w:val="center"/>
              <w:rPr>
                <w:b/>
                <w:bCs/>
              </w:rPr>
            </w:pPr>
            <w:r w:rsidRPr="007E7A4A">
              <w:rPr>
                <w:b/>
                <w:bCs/>
              </w:rPr>
              <w:t>Name</w:t>
            </w:r>
          </w:p>
        </w:tc>
        <w:tc>
          <w:tcPr>
            <w:tcW w:w="5158" w:type="dxa"/>
          </w:tcPr>
          <w:p w:rsidRPr="007E7A4A" w:rsidR="00777D08" w:rsidRDefault="00211F76" w14:paraId="07DE1636" w14:textId="77777777">
            <w:pPr>
              <w:keepNext/>
              <w:widowControl w:val="0"/>
              <w:spacing w:after="0" w:line="240" w:lineRule="auto"/>
              <w:jc w:val="center"/>
              <w:rPr>
                <w:b/>
                <w:bCs/>
              </w:rPr>
            </w:pPr>
            <w:r w:rsidRPr="007E7A4A">
              <w:rPr>
                <w:b/>
                <w:bCs/>
              </w:rPr>
              <w:t>Department/Agency</w:t>
            </w:r>
          </w:p>
        </w:tc>
      </w:tr>
      <w:tr w:rsidRPr="007E7A4A" w:rsidR="00777D08" w:rsidTr="0090674B" w14:paraId="7B748142" w14:textId="77777777">
        <w:trPr>
          <w:cantSplit/>
        </w:trPr>
        <w:tc>
          <w:tcPr>
            <w:tcW w:w="3937" w:type="dxa"/>
          </w:tcPr>
          <w:p w:rsidRPr="007E7A4A" w:rsidR="00777D08" w:rsidRDefault="005E5816" w14:paraId="16D31E95" w14:textId="60042B88">
            <w:pPr>
              <w:spacing w:beforeAutospacing="1" w:afterAutospacing="1"/>
            </w:pPr>
            <w:r w:rsidRPr="007E7A4A">
              <w:rPr>
                <w:color w:val="000000"/>
              </w:rPr>
              <w:t>Lead Agency</w:t>
            </w:r>
          </w:p>
        </w:tc>
        <w:tc>
          <w:tcPr>
            <w:tcW w:w="3855" w:type="dxa"/>
          </w:tcPr>
          <w:p w:rsidRPr="007E7A4A" w:rsidR="00777D08" w:rsidRDefault="00211F76" w14:paraId="3C48EE81" w14:textId="77777777">
            <w:pPr>
              <w:spacing w:beforeAutospacing="1" w:afterAutospacing="1"/>
            </w:pPr>
            <w:r w:rsidRPr="007E7A4A">
              <w:rPr>
                <w:color w:val="000000"/>
              </w:rPr>
              <w:t>BURLINGTON</w:t>
            </w:r>
          </w:p>
        </w:tc>
        <w:tc>
          <w:tcPr>
            <w:tcW w:w="5158" w:type="dxa"/>
          </w:tcPr>
          <w:p w:rsidRPr="007E7A4A" w:rsidR="00777D08" w:rsidRDefault="00211F76" w14:paraId="54F2A36D" w14:textId="77777777">
            <w:pPr>
              <w:spacing w:beforeAutospacing="1" w:afterAutospacing="1"/>
            </w:pPr>
            <w:r w:rsidRPr="007E7A4A">
              <w:rPr>
                <w:color w:val="000000"/>
              </w:rPr>
              <w:t xml:space="preserve"> </w:t>
            </w:r>
          </w:p>
        </w:tc>
      </w:tr>
    </w:tbl>
    <w:p w:rsidRPr="007E7A4A" w:rsidR="00777D08" w:rsidRDefault="00777D08" w14:paraId="3F8FBA10" w14:textId="77777777">
      <w:pPr>
        <w:spacing w:after="0" w:line="240" w:lineRule="auto"/>
        <w:rPr>
          <w:b/>
          <w:vanish/>
          <w:sz w:val="24"/>
          <w:szCs w:val="24"/>
        </w:rPr>
      </w:pP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99"/>
        <w:gridCol w:w="3900"/>
        <w:gridCol w:w="5151"/>
      </w:tblGrid>
      <w:tr w:rsidRPr="007E7A4A" w:rsidR="00777D08" w14:paraId="727A9B45" w14:textId="77777777">
        <w:trPr>
          <w:cantSplit/>
          <w:tblHeader/>
          <w:hidden/>
        </w:trPr>
        <w:tc>
          <w:tcPr>
            <w:tcW w:w="3192" w:type="dxa"/>
          </w:tcPr>
          <w:p w:rsidRPr="007E7A4A" w:rsidR="00777D08" w:rsidRDefault="00777D08" w14:paraId="07E1BFAC" w14:textId="77777777">
            <w:pPr>
              <w:keepNext/>
              <w:widowControl w:val="0"/>
              <w:spacing w:after="0" w:line="240" w:lineRule="auto"/>
              <w:jc w:val="center"/>
              <w:rPr>
                <w:b/>
                <w:bCs/>
                <w:vanish/>
              </w:rPr>
            </w:pPr>
          </w:p>
        </w:tc>
        <w:tc>
          <w:tcPr>
            <w:tcW w:w="3192" w:type="dxa"/>
          </w:tcPr>
          <w:p w:rsidRPr="007E7A4A" w:rsidR="00777D08" w:rsidRDefault="00777D08" w14:paraId="7A82E460" w14:textId="77777777">
            <w:pPr>
              <w:keepNext/>
              <w:widowControl w:val="0"/>
              <w:spacing w:after="0" w:line="240" w:lineRule="auto"/>
              <w:jc w:val="center"/>
              <w:rPr>
                <w:b/>
                <w:bCs/>
                <w:vanish/>
              </w:rPr>
            </w:pPr>
          </w:p>
        </w:tc>
        <w:tc>
          <w:tcPr>
            <w:tcW w:w="3192" w:type="dxa"/>
          </w:tcPr>
          <w:p w:rsidRPr="007E7A4A" w:rsidR="00777D08" w:rsidRDefault="00777D08" w14:paraId="0A802E3D" w14:textId="77777777">
            <w:pPr>
              <w:keepNext/>
              <w:widowControl w:val="0"/>
              <w:spacing w:after="0" w:line="240" w:lineRule="auto"/>
              <w:jc w:val="center"/>
              <w:rPr>
                <w:b/>
                <w:bCs/>
                <w:vanish/>
              </w:rPr>
            </w:pPr>
          </w:p>
        </w:tc>
      </w:tr>
      <w:tr w:rsidRPr="007E7A4A" w:rsidR="00777D08" w14:paraId="6997A314" w14:textId="77777777">
        <w:trPr>
          <w:cantSplit/>
        </w:trPr>
        <w:tc>
          <w:tcPr>
            <w:tcW w:w="0" w:type="auto"/>
          </w:tcPr>
          <w:p w:rsidRPr="007E7A4A" w:rsidR="00777D08" w:rsidRDefault="00211F76" w14:paraId="64A3A059" w14:textId="77777777">
            <w:pPr>
              <w:spacing w:beforeAutospacing="1" w:afterAutospacing="1"/>
            </w:pPr>
            <w:r w:rsidRPr="007E7A4A">
              <w:rPr>
                <w:color w:val="000000"/>
              </w:rPr>
              <w:t>CDBG Administrator</w:t>
            </w:r>
          </w:p>
        </w:tc>
        <w:tc>
          <w:tcPr>
            <w:tcW w:w="0" w:type="auto"/>
          </w:tcPr>
          <w:p w:rsidRPr="007E7A4A" w:rsidR="00777D08" w:rsidRDefault="00211F76" w14:paraId="744B60F4" w14:textId="4A252FB5">
            <w:pPr>
              <w:spacing w:beforeAutospacing="1" w:afterAutospacing="1"/>
            </w:pPr>
            <w:r w:rsidRPr="007E7A4A">
              <w:rPr>
                <w:color w:val="000000"/>
              </w:rPr>
              <w:t xml:space="preserve"> </w:t>
            </w:r>
            <w:r w:rsidRPr="007E7A4A" w:rsidR="0090674B">
              <w:rPr>
                <w:color w:val="000000"/>
              </w:rPr>
              <w:t>BURLINGTON</w:t>
            </w:r>
          </w:p>
        </w:tc>
        <w:tc>
          <w:tcPr>
            <w:tcW w:w="0" w:type="auto"/>
          </w:tcPr>
          <w:p w:rsidRPr="007E7A4A" w:rsidR="00777D08" w:rsidRDefault="00211F76" w14:paraId="0AD35CB1" w14:textId="4F6872D0">
            <w:pPr>
              <w:spacing w:beforeAutospacing="1" w:afterAutospacing="1"/>
            </w:pPr>
            <w:r w:rsidRPr="007E7A4A">
              <w:rPr>
                <w:color w:val="000000"/>
              </w:rPr>
              <w:t xml:space="preserve">Community </w:t>
            </w:r>
            <w:r w:rsidRPr="007E7A4A" w:rsidR="00A011EA">
              <w:rPr>
                <w:color w:val="000000"/>
              </w:rPr>
              <w:t>&amp;</w:t>
            </w:r>
            <w:r w:rsidRPr="007E7A4A">
              <w:rPr>
                <w:color w:val="000000"/>
              </w:rPr>
              <w:t xml:space="preserve"> Economic Development Office</w:t>
            </w:r>
          </w:p>
        </w:tc>
      </w:tr>
      <w:tr w:rsidRPr="007E7A4A" w:rsidR="00777D08" w14:paraId="2E9A4DC0" w14:textId="77777777">
        <w:trPr>
          <w:cantSplit/>
        </w:trPr>
        <w:tc>
          <w:tcPr>
            <w:tcW w:w="0" w:type="auto"/>
          </w:tcPr>
          <w:p w:rsidRPr="007E7A4A" w:rsidR="00777D08" w:rsidRDefault="00211F76" w14:paraId="7958199E" w14:textId="77777777">
            <w:pPr>
              <w:spacing w:beforeAutospacing="1" w:afterAutospacing="1"/>
            </w:pPr>
            <w:r w:rsidRPr="007E7A4A">
              <w:rPr>
                <w:color w:val="000000"/>
              </w:rPr>
              <w:t>HOPWA Administrator</w:t>
            </w:r>
          </w:p>
        </w:tc>
        <w:tc>
          <w:tcPr>
            <w:tcW w:w="0" w:type="auto"/>
          </w:tcPr>
          <w:p w:rsidRPr="007E7A4A" w:rsidR="00777D08" w:rsidRDefault="00211F76" w14:paraId="43DBBD0E" w14:textId="0D4BA783">
            <w:pPr>
              <w:spacing w:beforeAutospacing="1" w:afterAutospacing="1"/>
            </w:pPr>
            <w:r w:rsidRPr="007E7A4A">
              <w:rPr>
                <w:color w:val="000000"/>
              </w:rPr>
              <w:t xml:space="preserve"> </w:t>
            </w:r>
            <w:r w:rsidRPr="007E7A4A" w:rsidR="0044179D">
              <w:rPr>
                <w:color w:val="000000"/>
              </w:rPr>
              <w:t>N/A</w:t>
            </w:r>
          </w:p>
        </w:tc>
        <w:tc>
          <w:tcPr>
            <w:tcW w:w="0" w:type="auto"/>
          </w:tcPr>
          <w:p w:rsidRPr="007E7A4A" w:rsidR="00777D08" w:rsidRDefault="00211F76" w14:paraId="5FF0A943" w14:textId="77777777">
            <w:pPr>
              <w:spacing w:beforeAutospacing="1" w:afterAutospacing="1"/>
            </w:pPr>
            <w:r w:rsidRPr="007E7A4A">
              <w:rPr>
                <w:color w:val="000000"/>
              </w:rPr>
              <w:t xml:space="preserve"> </w:t>
            </w:r>
          </w:p>
        </w:tc>
      </w:tr>
      <w:tr w:rsidRPr="007E7A4A" w:rsidR="00777D08" w14:paraId="60D4A080" w14:textId="77777777">
        <w:trPr>
          <w:cantSplit/>
        </w:trPr>
        <w:tc>
          <w:tcPr>
            <w:tcW w:w="0" w:type="auto"/>
          </w:tcPr>
          <w:p w:rsidRPr="007E7A4A" w:rsidR="00777D08" w:rsidRDefault="00211F76" w14:paraId="70A5937E" w14:textId="77777777">
            <w:pPr>
              <w:spacing w:beforeAutospacing="1" w:afterAutospacing="1"/>
            </w:pPr>
            <w:r w:rsidRPr="007E7A4A">
              <w:rPr>
                <w:color w:val="000000"/>
              </w:rPr>
              <w:t>HOME Administrator</w:t>
            </w:r>
          </w:p>
        </w:tc>
        <w:tc>
          <w:tcPr>
            <w:tcW w:w="0" w:type="auto"/>
          </w:tcPr>
          <w:p w:rsidRPr="007E7A4A" w:rsidR="00777D08" w:rsidRDefault="00211F76" w14:paraId="1B183353" w14:textId="2EDBF89D">
            <w:pPr>
              <w:spacing w:beforeAutospacing="1" w:afterAutospacing="1"/>
            </w:pPr>
            <w:r w:rsidRPr="007E7A4A">
              <w:rPr>
                <w:color w:val="000000"/>
              </w:rPr>
              <w:t xml:space="preserve"> </w:t>
            </w:r>
            <w:r w:rsidRPr="007E7A4A" w:rsidR="0090674B">
              <w:rPr>
                <w:color w:val="000000"/>
              </w:rPr>
              <w:t>BURLINGTON</w:t>
            </w:r>
          </w:p>
        </w:tc>
        <w:tc>
          <w:tcPr>
            <w:tcW w:w="0" w:type="auto"/>
          </w:tcPr>
          <w:p w:rsidRPr="007E7A4A" w:rsidR="00777D08" w:rsidRDefault="00211F76" w14:paraId="0A75B605" w14:textId="690A8793">
            <w:pPr>
              <w:spacing w:beforeAutospacing="1" w:afterAutospacing="1"/>
            </w:pPr>
            <w:r w:rsidRPr="007E7A4A">
              <w:rPr>
                <w:color w:val="000000"/>
              </w:rPr>
              <w:t xml:space="preserve">Community </w:t>
            </w:r>
            <w:r w:rsidRPr="007E7A4A" w:rsidR="00A011EA">
              <w:rPr>
                <w:color w:val="000000"/>
              </w:rPr>
              <w:t>&amp;</w:t>
            </w:r>
            <w:r w:rsidRPr="007E7A4A">
              <w:rPr>
                <w:color w:val="000000"/>
              </w:rPr>
              <w:t xml:space="preserve"> Economic Development Office</w:t>
            </w:r>
          </w:p>
        </w:tc>
      </w:tr>
      <w:tr w:rsidRPr="007E7A4A" w:rsidR="00777D08" w14:paraId="4CBEE1D5" w14:textId="77777777">
        <w:trPr>
          <w:cantSplit/>
        </w:trPr>
        <w:tc>
          <w:tcPr>
            <w:tcW w:w="0" w:type="auto"/>
          </w:tcPr>
          <w:p w:rsidRPr="007E7A4A" w:rsidR="00777D08" w:rsidRDefault="00211F76" w14:paraId="581E41AA" w14:textId="77777777">
            <w:pPr>
              <w:spacing w:beforeAutospacing="1" w:afterAutospacing="1"/>
            </w:pPr>
            <w:r w:rsidRPr="007E7A4A">
              <w:rPr>
                <w:color w:val="000000"/>
              </w:rPr>
              <w:t>HOPWA-C Administrator</w:t>
            </w:r>
          </w:p>
        </w:tc>
        <w:tc>
          <w:tcPr>
            <w:tcW w:w="0" w:type="auto"/>
          </w:tcPr>
          <w:p w:rsidRPr="007E7A4A" w:rsidR="00777D08" w:rsidRDefault="00211F76" w14:paraId="1BC9F791" w14:textId="204F2D86">
            <w:pPr>
              <w:spacing w:beforeAutospacing="1" w:afterAutospacing="1"/>
            </w:pPr>
            <w:r w:rsidRPr="007E7A4A">
              <w:rPr>
                <w:color w:val="000000"/>
              </w:rPr>
              <w:t xml:space="preserve"> </w:t>
            </w:r>
            <w:r w:rsidRPr="007E7A4A" w:rsidR="0044179D">
              <w:rPr>
                <w:color w:val="000000"/>
              </w:rPr>
              <w:t>N/A</w:t>
            </w:r>
          </w:p>
        </w:tc>
        <w:tc>
          <w:tcPr>
            <w:tcW w:w="0" w:type="auto"/>
          </w:tcPr>
          <w:p w:rsidRPr="007E7A4A" w:rsidR="00777D08" w:rsidRDefault="00211F76" w14:paraId="2E2B433A" w14:textId="77777777">
            <w:pPr>
              <w:spacing w:beforeAutospacing="1" w:afterAutospacing="1"/>
            </w:pPr>
            <w:r w:rsidRPr="007E7A4A">
              <w:rPr>
                <w:color w:val="000000"/>
              </w:rPr>
              <w:t xml:space="preserve"> </w:t>
            </w:r>
          </w:p>
        </w:tc>
      </w:tr>
    </w:tbl>
    <w:p w:rsidRPr="007E7A4A" w:rsidR="00777D08" w:rsidRDefault="00211F76" w14:paraId="51EA9972" w14:textId="10E2E907">
      <w:pPr>
        <w:pStyle w:val="Caption"/>
        <w:jc w:val="center"/>
        <w:rPr>
          <w:rFonts w:asciiTheme="minorHAnsi" w:hAnsiTheme="minorHAnsi"/>
        </w:rPr>
      </w:pPr>
      <w:r w:rsidRPr="007E7A4A">
        <w:rPr>
          <w:rFonts w:asciiTheme="minorHAnsi" w:hAnsiTheme="minorHAnsi"/>
        </w:rPr>
        <w:t xml:space="preserve">Table </w:t>
      </w:r>
      <w:r w:rsidRPr="007E7A4A">
        <w:rPr>
          <w:rFonts w:asciiTheme="minorHAnsi" w:hAnsiTheme="minorHAnsi"/>
        </w:rPr>
        <w:fldChar w:fldCharType="begin"/>
      </w:r>
      <w:r w:rsidRPr="007E7A4A">
        <w:rPr>
          <w:rFonts w:asciiTheme="minorHAnsi" w:hAnsiTheme="minorHAnsi"/>
        </w:rPr>
        <w:instrText xml:space="preserve"> SEQ Table \* ARABIC </w:instrText>
      </w:r>
      <w:r w:rsidRPr="007E7A4A">
        <w:rPr>
          <w:rFonts w:asciiTheme="minorHAnsi" w:hAnsiTheme="minorHAnsi"/>
        </w:rPr>
        <w:fldChar w:fldCharType="separate"/>
      </w:r>
      <w:r w:rsidR="0090766A">
        <w:rPr>
          <w:rFonts w:asciiTheme="minorHAnsi" w:hAnsiTheme="minorHAnsi"/>
          <w:noProof/>
        </w:rPr>
        <w:t>1</w:t>
      </w:r>
      <w:r w:rsidRPr="007E7A4A">
        <w:rPr>
          <w:rFonts w:asciiTheme="minorHAnsi" w:hAnsiTheme="minorHAnsi"/>
        </w:rPr>
        <w:fldChar w:fldCharType="end"/>
      </w:r>
      <w:r w:rsidRPr="007E7A4A">
        <w:rPr>
          <w:rFonts w:asciiTheme="minorHAnsi" w:hAnsiTheme="minorHAnsi"/>
        </w:rPr>
        <w:t xml:space="preserve"> – Responsible Agencies</w:t>
      </w:r>
    </w:p>
    <w:p w:rsidRPr="007E7A4A" w:rsidR="00777D08" w:rsidRDefault="00777D08" w14:paraId="300D87ED" w14:textId="77777777">
      <w:pPr>
        <w:spacing w:after="0" w:line="240" w:lineRule="auto"/>
        <w:rPr>
          <w:b/>
          <w:sz w:val="24"/>
          <w:szCs w:val="24"/>
        </w:rPr>
      </w:pPr>
    </w:p>
    <w:p w:rsidRPr="007E7A4A" w:rsidR="00777D08" w:rsidRDefault="00211F76" w14:paraId="12245CF4" w14:textId="77777777">
      <w:pPr>
        <w:rPr>
          <w:b/>
          <w:sz w:val="24"/>
          <w:szCs w:val="24"/>
        </w:rPr>
      </w:pPr>
      <w:r w:rsidRPr="007E7A4A">
        <w:rPr>
          <w:b/>
          <w:sz w:val="24"/>
          <w:szCs w:val="24"/>
        </w:rPr>
        <w:t>Narrative (optional)</w:t>
      </w:r>
    </w:p>
    <w:p w:rsidRPr="007E7A4A" w:rsidR="00777D08" w:rsidRDefault="00211F76" w14:paraId="180EA58E" w14:textId="70F9600B">
      <w:pPr>
        <w:spacing w:beforeAutospacing="1" w:afterAutospacing="1"/>
        <w:rPr>
          <w:rFonts w:cs="Arial"/>
        </w:rPr>
      </w:pPr>
      <w:r w:rsidRPr="007E7A4A">
        <w:rPr>
          <w:rFonts w:cs="Arial"/>
        </w:rPr>
        <w:t xml:space="preserve">The Community </w:t>
      </w:r>
      <w:r w:rsidRPr="007E7A4A" w:rsidR="00A011EA">
        <w:rPr>
          <w:rFonts w:cs="Arial"/>
        </w:rPr>
        <w:t>&amp;</w:t>
      </w:r>
      <w:r w:rsidRPr="007E7A4A">
        <w:rPr>
          <w:rFonts w:cs="Arial"/>
        </w:rPr>
        <w:t xml:space="preserve"> Economic Development Office (CEDO) is a department of the City of Burlington.  The department engages our community to build an equitable, healthy, safe, and vibrant city with opportunities for all.  CEDO staff members and programs seek to foster economic vitality; preserve and enhance neighborhoods, quality of life, and the environment; and promote equity and opportunity for all residents of Burlington.  In support of its mission, CEDO works in partnership with citizens, the public and private sector, and other City departments to: strengthen the quality of life in Burlington's neighborhoods; preserve and develop decent, safe and affordable housing opportunities; maintain and improve the vitality of Downtown, the Pine Street area and neighborhood business districts; encourage a thriving business sector; foster job growth and employment opportunities; increase civic engagement and citizen participation; support the delivery of human services; and revitalize Burlington's waterfront.</w:t>
      </w:r>
    </w:p>
    <w:p w:rsidRPr="007E7A4A" w:rsidR="00777D08" w:rsidRDefault="00211F76" w14:paraId="04F1F2CF" w14:textId="69E9285F">
      <w:pPr>
        <w:spacing w:beforeAutospacing="1" w:afterAutospacing="1"/>
        <w:rPr>
          <w:rFonts w:cs="Arial"/>
        </w:rPr>
      </w:pPr>
      <w:r w:rsidRPr="007E7A4A">
        <w:rPr>
          <w:rFonts w:cs="Arial"/>
        </w:rPr>
        <w:t xml:space="preserve">CEDO is funded through Federal and State grants, the Housing Trust Fund and a portion of General Fund dollars. CEDO divisions include: </w:t>
      </w:r>
      <w:r w:rsidRPr="007E7A4A" w:rsidR="00361853">
        <w:rPr>
          <w:rFonts w:cs="Arial"/>
        </w:rPr>
        <w:t>Administration and Finance</w:t>
      </w:r>
      <w:r w:rsidRPr="007E7A4A">
        <w:rPr>
          <w:rFonts w:cs="Arial"/>
        </w:rPr>
        <w:t xml:space="preserve">, </w:t>
      </w:r>
      <w:r w:rsidRPr="007E7A4A" w:rsidR="00361853">
        <w:rPr>
          <w:rFonts w:cs="Arial"/>
        </w:rPr>
        <w:t>Community Works</w:t>
      </w:r>
      <w:r w:rsidRPr="007E7A4A">
        <w:rPr>
          <w:rFonts w:cs="Arial"/>
        </w:rPr>
        <w:t xml:space="preserve">, </w:t>
      </w:r>
      <w:r w:rsidRPr="007E7A4A" w:rsidR="00361853">
        <w:rPr>
          <w:rFonts w:cs="Arial"/>
        </w:rPr>
        <w:t xml:space="preserve">Opportunities and Engagement, </w:t>
      </w:r>
      <w:r w:rsidRPr="007E7A4A">
        <w:rPr>
          <w:rFonts w:cs="Arial"/>
        </w:rPr>
        <w:t>and the Community Justice Center. In addition, CEDO has administrative/fiscal staff.</w:t>
      </w:r>
    </w:p>
    <w:p w:rsidR="002E7140" w:rsidRDefault="002E7140" w14:paraId="0BAD7D1E" w14:textId="77777777">
      <w:pPr>
        <w:rPr>
          <w:b/>
          <w:sz w:val="24"/>
          <w:szCs w:val="24"/>
        </w:rPr>
      </w:pPr>
    </w:p>
    <w:p w:rsidR="002E7140" w:rsidRDefault="002E7140" w14:paraId="03C4A6D7" w14:textId="77777777">
      <w:pPr>
        <w:rPr>
          <w:b/>
          <w:sz w:val="24"/>
          <w:szCs w:val="24"/>
        </w:rPr>
      </w:pPr>
    </w:p>
    <w:p w:rsidR="002E7140" w:rsidRDefault="002E7140" w14:paraId="2419D17E" w14:textId="77777777">
      <w:pPr>
        <w:rPr>
          <w:b/>
          <w:sz w:val="24"/>
          <w:szCs w:val="24"/>
        </w:rPr>
      </w:pPr>
    </w:p>
    <w:p w:rsidR="002E7140" w:rsidRDefault="002E7140" w14:paraId="7DB5521B" w14:textId="77777777">
      <w:pPr>
        <w:rPr>
          <w:b/>
          <w:sz w:val="24"/>
          <w:szCs w:val="24"/>
        </w:rPr>
      </w:pPr>
    </w:p>
    <w:p w:rsidRPr="007E7A4A" w:rsidR="00777D08" w:rsidRDefault="00211F76" w14:paraId="50FCA7D8" w14:textId="0D868BFE">
      <w:pPr>
        <w:rPr>
          <w:b/>
          <w:sz w:val="24"/>
          <w:szCs w:val="24"/>
        </w:rPr>
      </w:pPr>
      <w:r w:rsidRPr="007E7A4A">
        <w:rPr>
          <w:b/>
          <w:sz w:val="24"/>
          <w:szCs w:val="24"/>
        </w:rPr>
        <w:t>Consolidated Plan Public Contact Information</w:t>
      </w:r>
    </w:p>
    <w:p w:rsidRPr="007E7A4A" w:rsidR="00777D08" w:rsidRDefault="004D60A5" w14:paraId="07BFEF9A" w14:textId="62A58FBD">
      <w:pPr>
        <w:spacing w:beforeAutospacing="1" w:afterAutospacing="1"/>
        <w:rPr>
          <w:rFonts w:cs="Arial"/>
        </w:rPr>
      </w:pPr>
      <w:r w:rsidRPr="007E7A4A">
        <w:rPr>
          <w:rFonts w:cs="Arial"/>
        </w:rPr>
        <w:t>Christine Curtis</w:t>
      </w:r>
    </w:p>
    <w:p w:rsidRPr="007E7A4A" w:rsidR="00777D08" w:rsidRDefault="004D60A5" w14:paraId="69578A29" w14:textId="6E517062">
      <w:pPr>
        <w:spacing w:beforeAutospacing="1" w:afterAutospacing="1"/>
        <w:rPr>
          <w:rFonts w:cs="Arial"/>
        </w:rPr>
      </w:pPr>
      <w:r w:rsidRPr="007E7A4A">
        <w:rPr>
          <w:rFonts w:cs="Arial"/>
        </w:rPr>
        <w:t>Community Development Specialist I</w:t>
      </w:r>
    </w:p>
    <w:p w:rsidRPr="007E7A4A" w:rsidR="00777D08" w:rsidRDefault="00211F76" w14:paraId="5E5C2EF8" w14:textId="77777777">
      <w:pPr>
        <w:spacing w:beforeAutospacing="1" w:afterAutospacing="1"/>
        <w:rPr>
          <w:rFonts w:cs="Arial"/>
        </w:rPr>
      </w:pPr>
      <w:r w:rsidRPr="007E7A4A">
        <w:rPr>
          <w:rFonts w:cs="Arial"/>
        </w:rPr>
        <w:t>CEDO</w:t>
      </w:r>
    </w:p>
    <w:p w:rsidRPr="007E7A4A" w:rsidR="00777D08" w:rsidRDefault="00211F76" w14:paraId="1182C566" w14:textId="77777777">
      <w:pPr>
        <w:spacing w:beforeAutospacing="1" w:afterAutospacing="1"/>
        <w:rPr>
          <w:rFonts w:cs="Arial"/>
        </w:rPr>
      </w:pPr>
      <w:r w:rsidRPr="007E7A4A">
        <w:rPr>
          <w:rFonts w:cs="Arial"/>
        </w:rPr>
        <w:t>149 Church Street Room 32</w:t>
      </w:r>
    </w:p>
    <w:p w:rsidRPr="007E7A4A" w:rsidR="00777D08" w:rsidRDefault="00211F76" w14:paraId="60DBA3B5" w14:textId="77777777">
      <w:pPr>
        <w:spacing w:beforeAutospacing="1" w:afterAutospacing="1"/>
        <w:rPr>
          <w:rFonts w:cs="Arial"/>
        </w:rPr>
      </w:pPr>
      <w:r w:rsidRPr="007E7A4A">
        <w:rPr>
          <w:rFonts w:cs="Arial"/>
        </w:rPr>
        <w:t>Burlington, VT 05401</w:t>
      </w:r>
    </w:p>
    <w:p w:rsidRPr="007E7A4A" w:rsidR="0044179D" w:rsidP="0044179D" w:rsidRDefault="004D60A5" w14:paraId="7A98D33A" w14:textId="07371448">
      <w:pPr>
        <w:spacing w:beforeAutospacing="1" w:afterAutospacing="1"/>
        <w:rPr>
          <w:rFonts w:cs="Arial"/>
        </w:rPr>
        <w:sectPr w:rsidRPr="007E7A4A" w:rsidR="0044179D">
          <w:headerReference w:type="default" r:id="rId14"/>
          <w:pgSz w:w="15840" w:h="12240" w:orient="landscape"/>
          <w:pgMar w:top="1440" w:right="1440" w:bottom="1440" w:left="1440" w:header="720" w:footer="720" w:gutter="0"/>
          <w:cols w:space="720"/>
          <w:docGrid w:linePitch="360"/>
        </w:sectPr>
      </w:pPr>
      <w:r w:rsidRPr="007E7A4A">
        <w:rPr>
          <w:rFonts w:cs="Arial"/>
        </w:rPr>
        <w:t>ccurtis</w:t>
      </w:r>
      <w:r w:rsidRPr="007E7A4A" w:rsidR="0044179D">
        <w:rPr>
          <w:rFonts w:cs="Arial"/>
        </w:rPr>
        <w:t>@burlingtonvt.gov</w:t>
      </w:r>
    </w:p>
    <w:p w:rsidRPr="00DD1C88" w:rsidR="009A7746" w:rsidP="009A7746" w:rsidRDefault="009A7746" w14:paraId="1203F5CF" w14:textId="77777777">
      <w:pPr>
        <w:pStyle w:val="Heading2"/>
        <w:keepNext w:val="0"/>
        <w:pageBreakBefore/>
        <w:widowControl w:val="0"/>
        <w:rPr>
          <w:rFonts w:ascii="Calibri" w:hAnsi="Calibri"/>
          <w:i w:val="0"/>
        </w:rPr>
      </w:pPr>
      <w:r w:rsidRPr="00DD1C88">
        <w:rPr>
          <w:rFonts w:ascii="Calibri" w:hAnsi="Calibri"/>
          <w:i w:val="0"/>
        </w:rPr>
        <w:lastRenderedPageBreak/>
        <w:t>AP-10 Consultation – 91.100, 91.200(b), 91.215(l)</w:t>
      </w:r>
    </w:p>
    <w:p w:rsidRPr="00DD1C88" w:rsidR="009A7746" w:rsidP="009A7746" w:rsidRDefault="009A7746" w14:paraId="3CF9C85D" w14:textId="77777777">
      <w:pPr>
        <w:rPr>
          <w:b/>
          <w:sz w:val="24"/>
          <w:szCs w:val="24"/>
        </w:rPr>
      </w:pPr>
      <w:r w:rsidRPr="00DD1C88">
        <w:rPr>
          <w:b/>
          <w:sz w:val="24"/>
          <w:szCs w:val="24"/>
        </w:rPr>
        <w:t>1.</w:t>
      </w:r>
      <w:r w:rsidRPr="00DD1C88">
        <w:rPr>
          <w:b/>
          <w:sz w:val="24"/>
          <w:szCs w:val="24"/>
        </w:rPr>
        <w:tab/>
      </w:r>
      <w:r w:rsidRPr="00DD1C88">
        <w:rPr>
          <w:b/>
          <w:sz w:val="24"/>
          <w:szCs w:val="24"/>
        </w:rPr>
        <w:t>Introduction</w:t>
      </w:r>
    </w:p>
    <w:p w:rsidRPr="00DD1C88" w:rsidR="009A7746" w:rsidP="009A7746" w:rsidRDefault="009A7746" w14:paraId="55885A2C" w14:textId="77777777">
      <w:pPr>
        <w:spacing w:beforeAutospacing="1" w:afterAutospacing="1"/>
        <w:rPr>
          <w:rFonts w:cs="Arial"/>
        </w:rPr>
      </w:pPr>
      <w:r w:rsidRPr="00DD1C88">
        <w:rPr>
          <w:rFonts w:cs="Arial"/>
        </w:rPr>
        <w:t xml:space="preserve">The City of Burlington consults with numerous organizations in the development of the 5 Year Consolidated Plan, the Assessment of Fair Housing, and the Action Plan. The process includes formal and informal meetings, surveys, discussions and focus groups.  The process of developing the Assessment of Fair Housing began in 2017 with a housing and neighborhood survey; the City received over 700 responses. The City also met with over 23 agencies, all of the Neighborhood Planning Assemblies, service beneficiaries, and residents in Burlington Housing Authority units. Over 2,400 postcards, in 3 different languages, were mailed to all residents of Burlington Housing Authority.  This extensive outreach informed the strategic goals of both the Assessment of Fair Housing and the current 5-year Con Plan (2018-2023). It continued with a </w:t>
      </w:r>
      <w:r>
        <w:rPr>
          <w:rFonts w:cs="Arial"/>
        </w:rPr>
        <w:t>Public Hearing in December 2020</w:t>
      </w:r>
      <w:r w:rsidRPr="00DD1C88">
        <w:rPr>
          <w:rFonts w:cs="Arial"/>
        </w:rPr>
        <w:t xml:space="preserve"> to hear community views on housing and community development needs, as well as comment on prior program year performance.</w:t>
      </w:r>
    </w:p>
    <w:p w:rsidRPr="00DD1C88" w:rsidR="009A7746" w:rsidP="009A7746" w:rsidRDefault="009A7746" w14:paraId="6AF82146" w14:textId="77777777">
      <w:pPr>
        <w:spacing w:beforeAutospacing="1" w:afterAutospacing="1"/>
        <w:rPr>
          <w:rFonts w:cs="Arial"/>
        </w:rPr>
      </w:pPr>
      <w:r w:rsidRPr="00DD1C88">
        <w:rPr>
          <w:rFonts w:cs="Arial"/>
        </w:rPr>
        <w:t>Between Dec. 2016 and July 2017, CEDO consulted with a number of groups, organizations and citizens, sharing or asking for data &amp; for input on needs, priorities and other issues.  Those groups &amp; organizations included representatives of public and private agencies who serve children, seniors and people with disabilities, people living with HIV/AIDS, homeless and low-income residents. In addition, multiple housing agencies, health/mental health service agencies, regional &amp; state government were consulted. In addition, a strong collaboration with United Way was developed regarding the application process.</w:t>
      </w:r>
    </w:p>
    <w:p w:rsidRPr="00DD1C88" w:rsidR="009A7746" w:rsidP="009A7746" w:rsidRDefault="009A7746" w14:paraId="4C216BB9" w14:textId="77777777">
      <w:pPr>
        <w:rPr>
          <w:b/>
          <w:sz w:val="24"/>
          <w:szCs w:val="24"/>
        </w:rPr>
      </w:pPr>
      <w:r w:rsidRPr="00DD1C88">
        <w:rPr>
          <w:b/>
          <w:sz w:val="24"/>
          <w:szCs w:val="24"/>
        </w:rPr>
        <w:t>Provide a concise summary of the jurisdiction’s activities to enhance coordination between public and assisted housing providers and private and governmental health, mental health and service agencies (91.215(l))</w:t>
      </w:r>
    </w:p>
    <w:p w:rsidRPr="00DD1C88" w:rsidR="009A7746" w:rsidP="009A7746" w:rsidRDefault="009A7746" w14:paraId="392E6443" w14:textId="77777777">
      <w:pPr>
        <w:spacing w:beforeAutospacing="1" w:afterAutospacing="1"/>
        <w:rPr>
          <w:rFonts w:cs="Arial"/>
        </w:rPr>
      </w:pPr>
      <w:r w:rsidRPr="00DD1C88">
        <w:rPr>
          <w:rFonts w:cs="Arial"/>
        </w:rPr>
        <w:t>Since 1983, the City has dedicated much of its housing and community development resources to supporting a network of nonprofit organizations to act as partners in producing &amp; preserving affordable housing &amp; protecting the City's most vulnerable residents. This nonprofit infrastructure functions as the principal housing &amp; social services delivery system to help the City move towards its housing goals &amp; alleviating poverty.</w:t>
      </w:r>
    </w:p>
    <w:p w:rsidRPr="00DD1C88" w:rsidR="009A7746" w:rsidP="009A7746" w:rsidRDefault="009A7746" w14:paraId="43C91FD4" w14:textId="77777777">
      <w:pPr>
        <w:spacing w:beforeAutospacing="1" w:afterAutospacing="1"/>
        <w:rPr>
          <w:rFonts w:cs="Arial"/>
        </w:rPr>
      </w:pPr>
      <w:r w:rsidRPr="00DD1C88">
        <w:rPr>
          <w:rFonts w:cs="Arial"/>
        </w:rPr>
        <w:t>The housing &amp; community development mission of Burlington</w:t>
      </w:r>
      <w:r>
        <w:rPr>
          <w:rFonts w:cs="Arial"/>
        </w:rPr>
        <w:t xml:space="preserve"> is carried out by several City </w:t>
      </w:r>
      <w:r w:rsidRPr="00DD1C88">
        <w:rPr>
          <w:rFonts w:cs="Arial"/>
        </w:rPr>
        <w:t>departments, a restricted revenue account, a municipal board &amp; 2 municipal corporations.</w:t>
      </w:r>
    </w:p>
    <w:p w:rsidRPr="00DD1C88" w:rsidR="009A7746" w:rsidP="009A7746" w:rsidRDefault="009A7746" w14:paraId="15D6D86B" w14:textId="77777777">
      <w:pPr>
        <w:spacing w:beforeAutospacing="1" w:afterAutospacing="1"/>
        <w:rPr>
          <w:rFonts w:cs="Arial"/>
        </w:rPr>
      </w:pPr>
      <w:r w:rsidRPr="00DD1C88">
        <w:rPr>
          <w:rFonts w:cs="Arial"/>
        </w:rPr>
        <w:t>Best practices are implemented for enhanced agency coordination for several community initiatives. Collaboration begins with a focus on assembling the right people or agencies at the table, clearly defining roles and responsibilities, sharing a common mission and developing good communication. This basic collective impact model has been effective for current collaborations.</w:t>
      </w:r>
    </w:p>
    <w:p w:rsidRPr="008E0715" w:rsidR="009A7746" w:rsidP="009A7746" w:rsidRDefault="009A7746" w14:paraId="6E393086" w14:textId="77777777">
      <w:pPr>
        <w:spacing w:beforeAutospacing="1" w:afterAutospacing="1"/>
        <w:rPr>
          <w:rFonts w:cs="Arial"/>
        </w:rPr>
      </w:pPr>
      <w:r w:rsidRPr="008E0715">
        <w:rPr>
          <w:rFonts w:cs="Arial"/>
        </w:rPr>
        <w:lastRenderedPageBreak/>
        <w:t>The Chittenden County Homeless Alliance continues to develop a common agenda and embrace several best practices including using a common assessment tool for permanent supportive housing, prioritizing those units for the most vulnerable, implementing a community wait list and using a shared information management system with the Balance of State. </w:t>
      </w:r>
    </w:p>
    <w:p w:rsidRPr="00FB50AA" w:rsidR="009A7746" w:rsidP="009A7746" w:rsidRDefault="009A7746" w14:paraId="2307729A" w14:textId="77777777">
      <w:pPr>
        <w:spacing w:beforeAutospacing="1" w:afterAutospacing="1"/>
        <w:rPr>
          <w:rFonts w:cs="Arial"/>
        </w:rPr>
      </w:pPr>
      <w:r w:rsidRPr="00FB50AA">
        <w:rPr>
          <w:rFonts w:cs="Arial"/>
        </w:rPr>
        <w:t>The Opioid Alliance represents a coordinated effort to include the Burlington Police Department, United Way of Northwest Vermont, Agency of Human Services, UVM Medical Center, Howard</w:t>
      </w:r>
      <w:r>
        <w:rPr>
          <w:rFonts w:cs="Arial"/>
        </w:rPr>
        <w:t xml:space="preserve"> </w:t>
      </w:r>
      <w:r w:rsidRPr="00FB50AA">
        <w:rPr>
          <w:rFonts w:cs="Arial"/>
        </w:rPr>
        <w:t>Center, the City and Dept. of Health along with other agencies. This collaboration relies on a collective impact approach, sharing data and coordinating between agencies.</w:t>
      </w:r>
    </w:p>
    <w:p w:rsidRPr="00FB50AA" w:rsidR="009A7746" w:rsidP="009A7746" w:rsidRDefault="009A7746" w14:paraId="6FC44367" w14:textId="77777777">
      <w:pPr>
        <w:spacing w:beforeAutospacing="1" w:afterAutospacing="1"/>
        <w:rPr>
          <w:rFonts w:asciiTheme="minorHAnsi" w:hAnsiTheme="minorHAnsi" w:cstheme="minorHAnsi"/>
        </w:rPr>
      </w:pPr>
      <w:r w:rsidRPr="00FB50AA">
        <w:rPr>
          <w:rFonts w:asciiTheme="minorHAnsi" w:hAnsiTheme="minorHAnsi" w:cstheme="minorHAnsi"/>
        </w:rPr>
        <w:t>Collaboration between the City and Burlington’s non-profit and government partners, already robust, expanded significantly in response to the COVID-19 pandemic</w:t>
      </w:r>
      <w:r>
        <w:rPr>
          <w:rFonts w:asciiTheme="minorHAnsi" w:hAnsiTheme="minorHAnsi" w:cstheme="minorHAnsi"/>
        </w:rPr>
        <w:t xml:space="preserve"> and that collaboration continues into 2021</w:t>
      </w:r>
      <w:r w:rsidRPr="00FB50AA">
        <w:rPr>
          <w:rFonts w:asciiTheme="minorHAnsi" w:hAnsiTheme="minorHAnsi" w:cstheme="minorHAnsi"/>
        </w:rPr>
        <w:t xml:space="preserve">. </w:t>
      </w:r>
      <w:r>
        <w:rPr>
          <w:rFonts w:asciiTheme="minorHAnsi" w:hAnsiTheme="minorHAnsi" w:cstheme="minorHAnsi"/>
        </w:rPr>
        <w:t>The</w:t>
      </w:r>
      <w:r w:rsidRPr="00FB50AA">
        <w:rPr>
          <w:rFonts w:asciiTheme="minorHAnsi" w:hAnsiTheme="minorHAnsi" w:cstheme="minorHAnsi"/>
        </w:rPr>
        <w:t xml:space="preserve"> City set up the Resource and Recovery Center (RRC) </w:t>
      </w:r>
      <w:r>
        <w:rPr>
          <w:rFonts w:asciiTheme="minorHAnsi" w:hAnsiTheme="minorHAnsi" w:cstheme="minorHAnsi"/>
        </w:rPr>
        <w:t xml:space="preserve">which continues </w:t>
      </w:r>
      <w:r w:rsidRPr="00FB50AA">
        <w:rPr>
          <w:rFonts w:asciiTheme="minorHAnsi" w:hAnsiTheme="minorHAnsi" w:cstheme="minorHAnsi"/>
          <w:shd w:val="clear" w:color="auto" w:fill="FFFFFF"/>
        </w:rPr>
        <w:t>to collect community resources to help Burlington citizens and businesses through these uncertain times. </w:t>
      </w:r>
      <w:r w:rsidRPr="00FB50AA">
        <w:rPr>
          <w:rFonts w:asciiTheme="minorHAnsi" w:hAnsiTheme="minorHAnsi" w:cstheme="minorHAnsi"/>
        </w:rPr>
        <w:t xml:space="preserve"> The RRC provides referrals and direct assistance to Burlington residents on unemployment insurance claims, food</w:t>
      </w:r>
      <w:r>
        <w:rPr>
          <w:rFonts w:asciiTheme="minorHAnsi" w:hAnsiTheme="minorHAnsi" w:cstheme="minorHAnsi"/>
        </w:rPr>
        <w:t xml:space="preserve"> security</w:t>
      </w:r>
      <w:r w:rsidRPr="00FB50AA">
        <w:rPr>
          <w:rFonts w:asciiTheme="minorHAnsi" w:hAnsiTheme="minorHAnsi" w:cstheme="minorHAnsi"/>
        </w:rPr>
        <w:t>, small business, housing, property tax assistance</w:t>
      </w:r>
      <w:r>
        <w:rPr>
          <w:rFonts w:asciiTheme="minorHAnsi" w:hAnsiTheme="minorHAnsi" w:cstheme="minorHAnsi"/>
        </w:rPr>
        <w:t xml:space="preserve"> and with access to many other essential services</w:t>
      </w:r>
      <w:r w:rsidRPr="00FB50AA">
        <w:rPr>
          <w:rFonts w:asciiTheme="minorHAnsi" w:hAnsiTheme="minorHAnsi" w:cstheme="minorHAnsi"/>
        </w:rPr>
        <w:t xml:space="preserve">. Burlington’s Homeless providers </w:t>
      </w:r>
      <w:r>
        <w:rPr>
          <w:rFonts w:asciiTheme="minorHAnsi" w:hAnsiTheme="minorHAnsi" w:cstheme="minorHAnsi"/>
        </w:rPr>
        <w:t>continue to meet weekly</w:t>
      </w:r>
      <w:r w:rsidRPr="00FB50AA">
        <w:rPr>
          <w:rFonts w:asciiTheme="minorHAnsi" w:hAnsiTheme="minorHAnsi" w:cstheme="minorHAnsi"/>
        </w:rPr>
        <w:t xml:space="preserve"> with stakeholders including Champlain Housing Trust, Agency of Human Services, CHCB, Howard, Steps, Spectrum, and Veterans organizations to coordinate housing and supports</w:t>
      </w:r>
      <w:r>
        <w:rPr>
          <w:rFonts w:asciiTheme="minorHAnsi" w:hAnsiTheme="minorHAnsi" w:cstheme="minorHAnsi"/>
        </w:rPr>
        <w:t xml:space="preserve"> for homeless in other low</w:t>
      </w:r>
      <w:r w:rsidRPr="00FB50AA">
        <w:rPr>
          <w:rFonts w:asciiTheme="minorHAnsi" w:hAnsiTheme="minorHAnsi" w:cstheme="minorHAnsi"/>
        </w:rPr>
        <w:t>-</w:t>
      </w:r>
      <w:r>
        <w:rPr>
          <w:rFonts w:asciiTheme="minorHAnsi" w:hAnsiTheme="minorHAnsi" w:cstheme="minorHAnsi"/>
        </w:rPr>
        <w:t>i</w:t>
      </w:r>
      <w:r w:rsidRPr="00FB50AA">
        <w:rPr>
          <w:rFonts w:asciiTheme="minorHAnsi" w:hAnsiTheme="minorHAnsi" w:cstheme="minorHAnsi"/>
        </w:rPr>
        <w:t>ncome residents.</w:t>
      </w:r>
      <w:r>
        <w:rPr>
          <w:rFonts w:asciiTheme="minorHAnsi" w:hAnsiTheme="minorHAnsi" w:cstheme="minorHAnsi"/>
        </w:rPr>
        <w:t xml:space="preserve">  The City established a Senior Providers Pandemic Response Working Group, meeting weekly to provide information resources, pandemic updates, access to information on PPE supplies, testing and later, vaccination. The group provides a space for peer learning and support at a time of real emergency and stress for providers of services to seniors. The meeting simultaneously gave access to leadership at both City and State levels on all aspects of COVID response.</w:t>
      </w:r>
    </w:p>
    <w:p w:rsidRPr="00DD1C88" w:rsidR="009A7746" w:rsidP="009A7746" w:rsidRDefault="009A7746" w14:paraId="575AAEDE" w14:textId="77777777">
      <w:pPr>
        <w:spacing w:beforeAutospacing="1" w:afterAutospacing="1"/>
        <w:rPr>
          <w:rFonts w:cs="Arial"/>
        </w:rPr>
      </w:pPr>
      <w:r w:rsidRPr="00DD1C88">
        <w:rPr>
          <w:rFonts w:cs="Arial"/>
        </w:rPr>
        <w:t>Members of the City government (multiple departments) and representatives of the University of Vermont, Champlain College, and University of Vermont Medical Center routinely meet with constituents, nonprofit representatives and land owners to address shared housing and community development challenges.</w:t>
      </w:r>
    </w:p>
    <w:p w:rsidRPr="00726DC3" w:rsidR="009A7746" w:rsidP="009A7746" w:rsidRDefault="009A7746" w14:paraId="4CF35C94" w14:textId="77777777">
      <w:pPr>
        <w:rPr>
          <w:b/>
          <w:sz w:val="24"/>
          <w:szCs w:val="24"/>
        </w:rPr>
      </w:pPr>
      <w:r w:rsidRPr="00726DC3">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Pr="00726DC3" w:rsidR="009A7746" w:rsidP="009A7746" w:rsidRDefault="009A7746" w14:paraId="2F33831E" w14:textId="77777777">
      <w:pPr>
        <w:spacing w:beforeAutospacing="1" w:afterAutospacing="1"/>
        <w:rPr>
          <w:rFonts w:cs="Arial"/>
        </w:rPr>
      </w:pPr>
      <w:r w:rsidRPr="00726DC3">
        <w:rPr>
          <w:rFonts w:cs="Arial"/>
        </w:rPr>
        <w:t xml:space="preserve">Chittenden County Homeless Alliance consists of a consortium of nonprofit organizations, local businesses, and local/state/federal agencies in the greater Burlington metropolitan area, with the City of Burlington’s Community </w:t>
      </w:r>
      <w:r>
        <w:rPr>
          <w:rFonts w:cs="Arial"/>
        </w:rPr>
        <w:t>&amp;</w:t>
      </w:r>
      <w:r w:rsidRPr="00726DC3">
        <w:rPr>
          <w:rFonts w:cs="Arial"/>
        </w:rPr>
        <w:t xml:space="preserve"> Economic Development Office (CEDO) serving as the Collaborative Applicant. The Alliance meets quarterly with the Steering Committee meeting monthly. The Alliance coordinates services for families, youth and single adults who are homeless; coordination between the agencies is enhanced with member participation on both the steering committee and sub-committee levels.</w:t>
      </w:r>
    </w:p>
    <w:p w:rsidRPr="00726DC3" w:rsidR="009A7746" w:rsidP="009A7746" w:rsidRDefault="009A7746" w14:paraId="6639D835" w14:textId="77777777">
      <w:pPr>
        <w:spacing w:beforeAutospacing="1" w:afterAutospacing="1"/>
        <w:rPr>
          <w:rFonts w:cs="Arial"/>
        </w:rPr>
      </w:pPr>
      <w:r w:rsidRPr="00726DC3">
        <w:rPr>
          <w:rFonts w:cs="Arial"/>
        </w:rPr>
        <w:lastRenderedPageBreak/>
        <w:t>The CoC coordinates the implementation of a housing and service system from outreach to housing to services that meet the needs of homeless individuals and families. Street outreach, Vermont 211, daytime shelter and meals all serve to reach the homeless and identify services/needs, including housing placement. Housing providers work to rapidly re-house or provide housing as quickly as possible &amp; stabilize, while supportive service agencies provide case management and connect with additional services. Providers serve the chronically homeless, families with children, veterans, unaccompanied youth &amp; those at risk of homelessness. </w:t>
      </w:r>
    </w:p>
    <w:p w:rsidRPr="00726DC3" w:rsidR="009A7746" w:rsidP="009A7746" w:rsidRDefault="009A7746" w14:paraId="54285FF0" w14:textId="77777777">
      <w:pPr>
        <w:spacing w:beforeAutospacing="1" w:afterAutospacing="1"/>
        <w:rPr>
          <w:rFonts w:cs="Arial"/>
        </w:rPr>
      </w:pPr>
      <w:r w:rsidRPr="00726DC3">
        <w:rPr>
          <w:rFonts w:cs="Arial"/>
        </w:rPr>
        <w:t>Member agencies work together to meet the needs of chronically homeless, and recent efforts include an improved system of outreach, prioritization of resources, coordinated entry along with increased permanent supportive housing options for chronic homeless &amp; support services. An emphasis includes housing retention (with services and case management) due to a low vacancy rate in this jurisdiction. Agencies work with local landlords to reduce the barriers of renting to chronically homeless.</w:t>
      </w:r>
    </w:p>
    <w:p w:rsidRPr="00726DC3" w:rsidR="009A7746" w:rsidP="009A7746" w:rsidRDefault="009A7746" w14:paraId="2BF56F9A" w14:textId="77777777">
      <w:pPr>
        <w:spacing w:beforeAutospacing="1" w:afterAutospacing="1"/>
        <w:rPr>
          <w:rFonts w:cs="Arial"/>
        </w:rPr>
      </w:pPr>
      <w:r w:rsidRPr="00726DC3">
        <w:rPr>
          <w:rFonts w:cs="Arial"/>
        </w:rPr>
        <w:t>The CoC providers work to identify, move into stable housing, &amp; provide essential services for households with children who are homeless. Each CoC program that serves children has children’s advocates or specially trained staff to ensure that the children’s need for safety, nurturing, education, and stability are met.</w:t>
      </w:r>
    </w:p>
    <w:p w:rsidRPr="00726DC3" w:rsidR="009A7746" w:rsidP="009A7746" w:rsidRDefault="009A7746" w14:paraId="01C732A1" w14:textId="77777777">
      <w:pPr>
        <w:spacing w:beforeAutospacing="1" w:afterAutospacing="1"/>
        <w:rPr>
          <w:rFonts w:cs="Arial"/>
        </w:rPr>
      </w:pPr>
      <w:r w:rsidRPr="00726DC3">
        <w:rPr>
          <w:rFonts w:cs="Arial"/>
        </w:rPr>
        <w:t>The CoC partners with local, state, and federal organizations to combat homelessness among veterans. Outreach has increased to local veterans at the local shelters. Previously un-identified veterans were enrolled in VA care &amp; many are now housed through VA housing programs.</w:t>
      </w:r>
    </w:p>
    <w:p w:rsidRPr="00726DC3" w:rsidR="009A7746" w:rsidP="009A7746" w:rsidRDefault="009A7746" w14:paraId="51EDE922" w14:textId="77777777">
      <w:pPr>
        <w:spacing w:beforeAutospacing="1" w:afterAutospacing="1"/>
        <w:rPr>
          <w:rFonts w:cs="Arial"/>
        </w:rPr>
      </w:pPr>
      <w:r w:rsidRPr="00726DC3">
        <w:rPr>
          <w:rFonts w:cs="Arial"/>
        </w:rPr>
        <w:t>A continuum partner provides emergency services to youth ages 16-22 who have run away, are homeless, or at risk of homelessness. Supported housing includes emergency shelter and transitional housing for youth who have left foster care and are homeless. Youth are provided with individual/family counseling, mental health/substance abuse assessment and treatment, case management, medical services, educational planning, employment support, life skills, jobs training, and mentoring. Another local program provides job and life skills training to at-risk youth while helping them complete their high school education. </w:t>
      </w:r>
    </w:p>
    <w:p w:rsidRPr="00BD3B67" w:rsidR="009A7746" w:rsidP="009A7746" w:rsidRDefault="009A7746" w14:paraId="2F15A25C" w14:textId="77777777">
      <w:pPr>
        <w:spacing w:beforeAutospacing="1" w:afterAutospacing="1"/>
        <w:rPr>
          <w:b/>
          <w:sz w:val="24"/>
          <w:szCs w:val="24"/>
        </w:rPr>
      </w:pPr>
      <w:r w:rsidRPr="00BD3B67">
        <w:rPr>
          <w:rFonts w:cs="Arial"/>
        </w:rPr>
        <w:t>CDBG funds have been targeted to address emerging needs identified through the COC. Public Service funds were used to fund housing navigation for permanent supportive housing programs.</w:t>
      </w:r>
    </w:p>
    <w:p w:rsidRPr="00726DC3" w:rsidR="009A7746" w:rsidP="009A7746" w:rsidRDefault="009A7746" w14:paraId="6C026834" w14:textId="77777777">
      <w:pPr>
        <w:rPr>
          <w:b/>
          <w:sz w:val="24"/>
          <w:szCs w:val="24"/>
        </w:rPr>
      </w:pPr>
      <w:r w:rsidRPr="00726DC3">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Pr="00726DC3" w:rsidR="009A7746" w:rsidP="009A7746" w:rsidRDefault="009A7746" w14:paraId="3364895A" w14:textId="77777777">
      <w:pPr>
        <w:spacing w:beforeAutospacing="1" w:afterAutospacing="1"/>
        <w:rPr>
          <w:rFonts w:cs="Arial"/>
        </w:rPr>
      </w:pPr>
      <w:r w:rsidRPr="00726DC3">
        <w:rPr>
          <w:rFonts w:cs="Arial"/>
        </w:rPr>
        <w:lastRenderedPageBreak/>
        <w:t xml:space="preserve">ESG funding allocations are made by the State of Vermont. Several state offices, including the Office of Economic Opportunity which administers ESG participate actively in the CoC and its numerous </w:t>
      </w:r>
      <w:r w:rsidRPr="00DF29E2">
        <w:rPr>
          <w:rFonts w:cs="Arial"/>
        </w:rPr>
        <w:t xml:space="preserve">committees, including strategic planning and coordinated entry. VT's Emergency Solutions Grant funds are blended with state funds and administered under the Housing Opportunity Grant Program. </w:t>
      </w:r>
      <w:r w:rsidRPr="00BD3B67">
        <w:rPr>
          <w:rFonts w:cs="Arial"/>
        </w:rPr>
        <w:t>This year, there were 5 organizations in the CoC that received funding.</w:t>
      </w:r>
      <w:r w:rsidRPr="00DF29E2">
        <w:rPr>
          <w:rFonts w:cs="Arial"/>
        </w:rPr>
        <w:t xml:space="preserve"> Funding decisions are based on thorough knowledge of this Continuum’s operations and priorities, with an emphasis on how best to</w:t>
      </w:r>
      <w:r w:rsidRPr="00726DC3">
        <w:rPr>
          <w:rFonts w:cs="Arial"/>
        </w:rPr>
        <w:t xml:space="preserve"> realize value for investment. The State solicits specific feedback from the CoCs and stakeholders through presentations, discussions, and surveys regarding priorities and how to allocate ESG funds to eligible activities as well provide an annual review of funding priorities and performance.</w:t>
      </w:r>
    </w:p>
    <w:p w:rsidRPr="00726DC3" w:rsidR="009A7746" w:rsidP="009A7746" w:rsidRDefault="009A7746" w14:paraId="32F62247" w14:textId="77777777">
      <w:pPr>
        <w:spacing w:beforeAutospacing="1" w:afterAutospacing="1"/>
        <w:rPr>
          <w:rFonts w:cs="Arial"/>
        </w:rPr>
      </w:pPr>
      <w:r w:rsidRPr="00726DC3">
        <w:rPr>
          <w:rFonts w:cs="Arial"/>
        </w:rPr>
        <w:t>The Chittenden Homeless Alliance has developed a single HMIS with the Vermont Balance of State including joint governance, policies and procedures. One of our CoC-funded projects supports the HMIS lead of the Institute of Community Alliances. The Alliance is working to expand the number of agencies using HMIS, coordinated entry and a community wait list. The Alliance members use ServicePoint HMIS and the CoC will utilize reports and inf</w:t>
      </w:r>
      <w:r>
        <w:rPr>
          <w:rFonts w:cs="Arial"/>
        </w:rPr>
        <w:t>ormation for strategic planning.</w:t>
      </w:r>
    </w:p>
    <w:p w:rsidRPr="00726DC3" w:rsidR="009A7746" w:rsidP="009A7746" w:rsidRDefault="009A7746" w14:paraId="278DDCCE" w14:textId="77777777">
      <w:pPr>
        <w:rPr>
          <w:b/>
          <w:sz w:val="24"/>
          <w:szCs w:val="24"/>
        </w:rPr>
      </w:pPr>
      <w:r w:rsidRPr="00726DC3">
        <w:rPr>
          <w:b/>
          <w:sz w:val="24"/>
          <w:szCs w:val="24"/>
        </w:rPr>
        <w:t>2.</w:t>
      </w:r>
      <w:r w:rsidRPr="00726DC3">
        <w:rPr>
          <w:b/>
          <w:sz w:val="24"/>
          <w:szCs w:val="24"/>
        </w:rPr>
        <w:tab/>
      </w:r>
      <w:r w:rsidRPr="00726DC3">
        <w:rPr>
          <w:b/>
          <w:sz w:val="24"/>
          <w:szCs w:val="24"/>
        </w:rPr>
        <w:t>Describe Agencies, groups, organizations and others who participated in the process and describe the jurisdiction’s consultations with housing, social service agencies and other entities</w:t>
      </w:r>
    </w:p>
    <w:p w:rsidRPr="00726DC3" w:rsidR="009A7746" w:rsidP="009A7746" w:rsidRDefault="009A7746" w14:paraId="613DFF86" w14:textId="4D036D42">
      <w:pPr>
        <w:pStyle w:val="Caption"/>
        <w:rPr>
          <w:rFonts w:asciiTheme="minorHAnsi" w:hAnsiTheme="minorHAnsi"/>
        </w:rPr>
      </w:pPr>
      <w:r w:rsidRPr="00726DC3">
        <w:rPr>
          <w:rFonts w:asciiTheme="minorHAnsi" w:hAnsiTheme="minorHAnsi"/>
        </w:rPr>
        <w:t xml:space="preserve">Table </w:t>
      </w:r>
      <w:r w:rsidRPr="00726DC3">
        <w:rPr>
          <w:rFonts w:asciiTheme="minorHAnsi" w:hAnsiTheme="minorHAnsi"/>
        </w:rPr>
        <w:fldChar w:fldCharType="begin"/>
      </w:r>
      <w:r w:rsidRPr="00726DC3">
        <w:rPr>
          <w:rFonts w:asciiTheme="minorHAnsi" w:hAnsiTheme="minorHAnsi"/>
        </w:rPr>
        <w:instrText xml:space="preserve"> SEQ Table \* ARABIC </w:instrText>
      </w:r>
      <w:r w:rsidRPr="00726DC3">
        <w:rPr>
          <w:rFonts w:asciiTheme="minorHAnsi" w:hAnsiTheme="minorHAnsi"/>
        </w:rPr>
        <w:fldChar w:fldCharType="separate"/>
      </w:r>
      <w:r w:rsidR="0090766A">
        <w:rPr>
          <w:rFonts w:asciiTheme="minorHAnsi" w:hAnsiTheme="minorHAnsi"/>
          <w:noProof/>
        </w:rPr>
        <w:t>2</w:t>
      </w:r>
      <w:r w:rsidRPr="00726DC3">
        <w:rPr>
          <w:rFonts w:asciiTheme="minorHAnsi" w:hAnsiTheme="minorHAnsi"/>
        </w:rPr>
        <w:fldChar w:fldCharType="end"/>
      </w:r>
      <w:r w:rsidRPr="00726DC3">
        <w:rPr>
          <w:rFonts w:asciiTheme="minorHAnsi" w:hAnsiTheme="minorHAnsi"/>
        </w:rPr>
        <w:t xml:space="preserve"> – Agencies, groups, organizations who participated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
        <w:gridCol w:w="5025"/>
        <w:gridCol w:w="3997"/>
      </w:tblGrid>
      <w:tr w:rsidRPr="00726DC3" w:rsidR="009A7746" w:rsidTr="00370486" w14:paraId="13A281BA" w14:textId="77777777">
        <w:trPr>
          <w:cantSplit/>
        </w:trPr>
        <w:tc>
          <w:tcPr>
            <w:tcW w:w="0" w:type="auto"/>
            <w:vMerge w:val="restart"/>
          </w:tcPr>
          <w:p w:rsidRPr="00726DC3" w:rsidR="009A7746" w:rsidP="00370486" w:rsidRDefault="009A7746" w14:paraId="22809FC2" w14:textId="77777777">
            <w:pPr>
              <w:keepNext/>
              <w:spacing w:before="100" w:after="0"/>
            </w:pPr>
            <w:r w:rsidRPr="00726DC3">
              <w:rPr>
                <w:color w:val="000000"/>
              </w:rPr>
              <w:t>1</w:t>
            </w:r>
          </w:p>
        </w:tc>
        <w:tc>
          <w:tcPr>
            <w:tcW w:w="0" w:type="auto"/>
          </w:tcPr>
          <w:p w:rsidRPr="00726DC3" w:rsidR="009A7746" w:rsidP="00370486" w:rsidRDefault="009A7746" w14:paraId="3B7D946B" w14:textId="77777777">
            <w:pPr>
              <w:keepNext/>
              <w:spacing w:before="100" w:after="0"/>
              <w:rPr>
                <w:b/>
              </w:rPr>
            </w:pPr>
            <w:r w:rsidRPr="00726DC3">
              <w:rPr>
                <w:b/>
              </w:rPr>
              <w:t>Agency/Group/Organization</w:t>
            </w:r>
          </w:p>
        </w:tc>
        <w:tc>
          <w:tcPr>
            <w:tcW w:w="0" w:type="auto"/>
          </w:tcPr>
          <w:p w:rsidRPr="00726DC3" w:rsidR="009A7746" w:rsidP="00370486" w:rsidRDefault="009A7746" w14:paraId="5BB39686" w14:textId="77777777">
            <w:pPr>
              <w:spacing w:before="100" w:after="0"/>
            </w:pPr>
            <w:r w:rsidRPr="00726DC3">
              <w:rPr>
                <w:color w:val="000000"/>
              </w:rPr>
              <w:t>CHAMPLAIN VALLEY OFFICE OF ECONOMIC OPPORTUNITY</w:t>
            </w:r>
          </w:p>
        </w:tc>
      </w:tr>
      <w:tr w:rsidRPr="00726DC3" w:rsidR="009A7746" w:rsidTr="00370486" w14:paraId="20867FB5" w14:textId="77777777">
        <w:trPr>
          <w:cantSplit/>
        </w:trPr>
        <w:tc>
          <w:tcPr>
            <w:tcW w:w="0" w:type="auto"/>
            <w:vMerge/>
          </w:tcPr>
          <w:p w:rsidRPr="00726DC3" w:rsidR="009A7746" w:rsidP="00370486" w:rsidRDefault="009A7746" w14:paraId="5C577763" w14:textId="77777777"/>
        </w:tc>
        <w:tc>
          <w:tcPr>
            <w:tcW w:w="0" w:type="auto"/>
          </w:tcPr>
          <w:p w:rsidRPr="00726DC3" w:rsidR="009A7746" w:rsidP="00370486" w:rsidRDefault="009A7746" w14:paraId="228C015C" w14:textId="77777777">
            <w:pPr>
              <w:keepNext/>
              <w:spacing w:before="100" w:after="0"/>
              <w:rPr>
                <w:b/>
              </w:rPr>
            </w:pPr>
            <w:r w:rsidRPr="00726DC3">
              <w:rPr>
                <w:b/>
              </w:rPr>
              <w:t>Agency/Group/Organization Type</w:t>
            </w:r>
          </w:p>
        </w:tc>
        <w:tc>
          <w:tcPr>
            <w:tcW w:w="0" w:type="auto"/>
          </w:tcPr>
          <w:p w:rsidRPr="00726DC3" w:rsidR="009A7746" w:rsidP="00370486" w:rsidRDefault="009A7746" w14:paraId="701CEB94" w14:textId="77777777">
            <w:pPr>
              <w:spacing w:before="100" w:after="0"/>
            </w:pPr>
            <w:r w:rsidRPr="00726DC3">
              <w:rPr>
                <w:color w:val="000000"/>
              </w:rPr>
              <w:t>Services - Housing</w:t>
            </w:r>
            <w:r w:rsidRPr="00726DC3">
              <w:rPr>
                <w:color w:val="000000"/>
              </w:rPr>
              <w:br/>
            </w:r>
            <w:r w:rsidRPr="00726DC3">
              <w:rPr>
                <w:color w:val="000000"/>
              </w:rPr>
              <w:t>Services-homeless</w:t>
            </w:r>
            <w:r w:rsidRPr="00726DC3">
              <w:rPr>
                <w:color w:val="000000"/>
              </w:rPr>
              <w:br/>
            </w:r>
            <w:r w:rsidRPr="00726DC3">
              <w:rPr>
                <w:color w:val="000000"/>
              </w:rPr>
              <w:t>Services-Health</w:t>
            </w:r>
            <w:r w:rsidRPr="00726DC3">
              <w:rPr>
                <w:color w:val="000000"/>
              </w:rPr>
              <w:br/>
            </w:r>
            <w:r w:rsidRPr="00726DC3">
              <w:rPr>
                <w:color w:val="000000"/>
              </w:rPr>
              <w:t>Services-Education</w:t>
            </w:r>
            <w:r w:rsidRPr="00726DC3">
              <w:rPr>
                <w:color w:val="000000"/>
              </w:rPr>
              <w:br/>
            </w:r>
            <w:r w:rsidRPr="00726DC3">
              <w:rPr>
                <w:color w:val="000000"/>
              </w:rPr>
              <w:t>Service-Fair Housing</w:t>
            </w:r>
          </w:p>
        </w:tc>
      </w:tr>
      <w:tr w:rsidRPr="00726DC3" w:rsidR="009A7746" w:rsidTr="00370486" w14:paraId="1D48E556" w14:textId="77777777">
        <w:trPr>
          <w:cantSplit/>
        </w:trPr>
        <w:tc>
          <w:tcPr>
            <w:tcW w:w="0" w:type="auto"/>
            <w:vMerge/>
          </w:tcPr>
          <w:p w:rsidRPr="00726DC3" w:rsidR="009A7746" w:rsidP="00370486" w:rsidRDefault="009A7746" w14:paraId="62DE0ECE" w14:textId="77777777"/>
        </w:tc>
        <w:tc>
          <w:tcPr>
            <w:tcW w:w="0" w:type="auto"/>
          </w:tcPr>
          <w:p w:rsidRPr="00726DC3" w:rsidR="009A7746" w:rsidP="00370486" w:rsidRDefault="009A7746" w14:paraId="7BEADCAF" w14:textId="77777777">
            <w:pPr>
              <w:keepNext/>
              <w:spacing w:before="100" w:after="0"/>
              <w:rPr>
                <w:b/>
              </w:rPr>
            </w:pPr>
            <w:r w:rsidRPr="00726DC3">
              <w:rPr>
                <w:b/>
              </w:rPr>
              <w:t>What section of the Plan was addressed by Consultation?</w:t>
            </w:r>
          </w:p>
        </w:tc>
        <w:tc>
          <w:tcPr>
            <w:tcW w:w="0" w:type="auto"/>
          </w:tcPr>
          <w:p w:rsidRPr="00726DC3" w:rsidR="009A7746" w:rsidP="00370486" w:rsidRDefault="009A7746" w14:paraId="7C211C55" w14:textId="77777777">
            <w:pPr>
              <w:spacing w:before="100" w:after="0"/>
            </w:pPr>
            <w:r w:rsidRPr="00726DC3">
              <w:rPr>
                <w:color w:val="000000"/>
              </w:rPr>
              <w:t>Homeless Needs - Chronically homeless</w:t>
            </w:r>
            <w:r w:rsidRPr="00726DC3">
              <w:rPr>
                <w:color w:val="000000"/>
              </w:rPr>
              <w:br/>
            </w:r>
            <w:r w:rsidRPr="00726DC3">
              <w:rPr>
                <w:color w:val="000000"/>
              </w:rPr>
              <w:t>Homeless Needs - Families with children</w:t>
            </w:r>
            <w:r w:rsidRPr="00726DC3">
              <w:rPr>
                <w:color w:val="000000"/>
              </w:rPr>
              <w:br/>
            </w:r>
            <w:r w:rsidRPr="00726DC3">
              <w:rPr>
                <w:color w:val="000000"/>
              </w:rPr>
              <w:t>Anti-poverty Strategy</w:t>
            </w:r>
            <w:r w:rsidRPr="00726DC3">
              <w:rPr>
                <w:color w:val="000000"/>
              </w:rPr>
              <w:br/>
            </w:r>
            <w:r w:rsidRPr="00726DC3">
              <w:rPr>
                <w:color w:val="000000"/>
              </w:rPr>
              <w:t>Fair Housing</w:t>
            </w:r>
          </w:p>
        </w:tc>
      </w:tr>
      <w:tr w:rsidRPr="00726DC3" w:rsidR="009A7746" w:rsidTr="00370486" w14:paraId="3BA44BAC" w14:textId="77777777">
        <w:trPr>
          <w:cantSplit/>
        </w:trPr>
        <w:tc>
          <w:tcPr>
            <w:tcW w:w="0" w:type="auto"/>
            <w:vMerge/>
          </w:tcPr>
          <w:p w:rsidRPr="00726DC3" w:rsidR="009A7746" w:rsidP="00370486" w:rsidRDefault="009A7746" w14:paraId="1092E2D8" w14:textId="77777777"/>
        </w:tc>
        <w:tc>
          <w:tcPr>
            <w:tcW w:w="0" w:type="auto"/>
          </w:tcPr>
          <w:p w:rsidRPr="00726DC3" w:rsidR="009A7746" w:rsidP="00370486" w:rsidRDefault="009A7746" w14:paraId="6E1540B2" w14:textId="77777777">
            <w:pPr>
              <w:keepNext/>
              <w:spacing w:before="100" w:after="0"/>
              <w:rPr>
                <w:b/>
              </w:rPr>
            </w:pPr>
            <w:r w:rsidRPr="00726DC3">
              <w:rPr>
                <w:b/>
              </w:rPr>
              <w:t>Briefly describe how the Agency/Group/Organization was consulted. What are the anticipated outcomes of the consultation or areas for improved coordination?</w:t>
            </w:r>
          </w:p>
        </w:tc>
        <w:tc>
          <w:tcPr>
            <w:tcW w:w="0" w:type="auto"/>
          </w:tcPr>
          <w:p w:rsidRPr="00726DC3" w:rsidR="009A7746" w:rsidP="00370486" w:rsidRDefault="009A7746" w14:paraId="405FF0C3" w14:textId="77777777">
            <w:pPr>
              <w:spacing w:before="100" w:after="0"/>
            </w:pPr>
            <w:r w:rsidRPr="00726DC3">
              <w:rPr>
                <w:color w:val="000000"/>
              </w:rPr>
              <w:t>This Agency was consulted on needs, progress, and upcoming goals.</w:t>
            </w:r>
          </w:p>
        </w:tc>
      </w:tr>
      <w:tr w:rsidRPr="00726DC3" w:rsidR="009A7746" w:rsidTr="00370486" w14:paraId="0067B509" w14:textId="77777777">
        <w:trPr>
          <w:cantSplit/>
        </w:trPr>
        <w:tc>
          <w:tcPr>
            <w:tcW w:w="0" w:type="auto"/>
            <w:vMerge w:val="restart"/>
          </w:tcPr>
          <w:p w:rsidRPr="00726DC3" w:rsidR="009A7746" w:rsidP="00370486" w:rsidRDefault="009A7746" w14:paraId="28F7CF5E" w14:textId="77777777">
            <w:pPr>
              <w:keepNext/>
              <w:spacing w:before="100" w:after="0"/>
            </w:pPr>
            <w:r w:rsidRPr="00726DC3">
              <w:rPr>
                <w:color w:val="000000"/>
              </w:rPr>
              <w:t>2</w:t>
            </w:r>
          </w:p>
        </w:tc>
        <w:tc>
          <w:tcPr>
            <w:tcW w:w="0" w:type="auto"/>
          </w:tcPr>
          <w:p w:rsidRPr="00726DC3" w:rsidR="009A7746" w:rsidP="00370486" w:rsidRDefault="009A7746" w14:paraId="45DB005F" w14:textId="77777777">
            <w:pPr>
              <w:keepNext/>
              <w:spacing w:before="100" w:after="0"/>
              <w:rPr>
                <w:b/>
              </w:rPr>
            </w:pPr>
            <w:r w:rsidRPr="00726DC3">
              <w:rPr>
                <w:b/>
              </w:rPr>
              <w:t>Agency/Group/Organization</w:t>
            </w:r>
          </w:p>
        </w:tc>
        <w:tc>
          <w:tcPr>
            <w:tcW w:w="0" w:type="auto"/>
          </w:tcPr>
          <w:p w:rsidRPr="00726DC3" w:rsidR="009A7746" w:rsidP="00370486" w:rsidRDefault="009A7746" w14:paraId="7DAA1154" w14:textId="77777777">
            <w:pPr>
              <w:spacing w:before="100" w:after="0"/>
            </w:pPr>
            <w:r w:rsidRPr="00726DC3">
              <w:rPr>
                <w:color w:val="000000"/>
              </w:rPr>
              <w:t>COMMITTEE ON TEMPORARY SHELTER</w:t>
            </w:r>
          </w:p>
        </w:tc>
      </w:tr>
      <w:tr w:rsidRPr="00726DC3" w:rsidR="009A7746" w:rsidTr="00370486" w14:paraId="3A19730B" w14:textId="77777777">
        <w:trPr>
          <w:cantSplit/>
        </w:trPr>
        <w:tc>
          <w:tcPr>
            <w:tcW w:w="0" w:type="auto"/>
            <w:vMerge/>
          </w:tcPr>
          <w:p w:rsidRPr="00726DC3" w:rsidR="009A7746" w:rsidP="00370486" w:rsidRDefault="009A7746" w14:paraId="2598D4F1" w14:textId="77777777"/>
        </w:tc>
        <w:tc>
          <w:tcPr>
            <w:tcW w:w="0" w:type="auto"/>
          </w:tcPr>
          <w:p w:rsidRPr="00726DC3" w:rsidR="009A7746" w:rsidP="00370486" w:rsidRDefault="009A7746" w14:paraId="732DDDA4" w14:textId="77777777">
            <w:pPr>
              <w:keepNext/>
              <w:spacing w:before="100" w:after="0"/>
              <w:rPr>
                <w:b/>
              </w:rPr>
            </w:pPr>
            <w:r w:rsidRPr="00726DC3">
              <w:rPr>
                <w:b/>
              </w:rPr>
              <w:t>Agency/Group/Organization Type</w:t>
            </w:r>
          </w:p>
        </w:tc>
        <w:tc>
          <w:tcPr>
            <w:tcW w:w="0" w:type="auto"/>
          </w:tcPr>
          <w:p w:rsidRPr="00726DC3" w:rsidR="009A7746" w:rsidP="00370486" w:rsidRDefault="009A7746" w14:paraId="419CDEBB" w14:textId="77777777">
            <w:pPr>
              <w:spacing w:before="100" w:after="0"/>
            </w:pPr>
            <w:r w:rsidRPr="00726DC3">
              <w:rPr>
                <w:color w:val="000000"/>
              </w:rPr>
              <w:t>Services-homeless</w:t>
            </w:r>
          </w:p>
        </w:tc>
      </w:tr>
      <w:tr w:rsidRPr="00726DC3" w:rsidR="009A7746" w:rsidTr="00370486" w14:paraId="06ADBCF9" w14:textId="77777777">
        <w:trPr>
          <w:cantSplit/>
        </w:trPr>
        <w:tc>
          <w:tcPr>
            <w:tcW w:w="0" w:type="auto"/>
            <w:vMerge/>
          </w:tcPr>
          <w:p w:rsidRPr="00726DC3" w:rsidR="009A7746" w:rsidP="00370486" w:rsidRDefault="009A7746" w14:paraId="7D5F2EEE" w14:textId="77777777"/>
        </w:tc>
        <w:tc>
          <w:tcPr>
            <w:tcW w:w="0" w:type="auto"/>
          </w:tcPr>
          <w:p w:rsidRPr="00726DC3" w:rsidR="009A7746" w:rsidP="00370486" w:rsidRDefault="009A7746" w14:paraId="47985AAB" w14:textId="77777777">
            <w:pPr>
              <w:keepNext/>
              <w:spacing w:before="100" w:after="0"/>
              <w:rPr>
                <w:b/>
              </w:rPr>
            </w:pPr>
            <w:r w:rsidRPr="00726DC3">
              <w:rPr>
                <w:b/>
              </w:rPr>
              <w:t>What section of the Plan was addressed by Consultation?</w:t>
            </w:r>
          </w:p>
        </w:tc>
        <w:tc>
          <w:tcPr>
            <w:tcW w:w="0" w:type="auto"/>
          </w:tcPr>
          <w:p w:rsidRPr="00726DC3" w:rsidR="009A7746" w:rsidP="00370486" w:rsidRDefault="009A7746" w14:paraId="3ADB35DA" w14:textId="77777777">
            <w:pPr>
              <w:spacing w:before="100" w:after="0"/>
            </w:pPr>
            <w:r w:rsidRPr="00726DC3">
              <w:rPr>
                <w:color w:val="000000"/>
              </w:rPr>
              <w:t>Homeless Needs - Chronically homeless</w:t>
            </w:r>
            <w:r w:rsidRPr="00726DC3">
              <w:rPr>
                <w:color w:val="000000"/>
              </w:rPr>
              <w:br/>
            </w:r>
            <w:r w:rsidRPr="00726DC3">
              <w:rPr>
                <w:color w:val="000000"/>
              </w:rPr>
              <w:t>Homeless Needs - Families with children</w:t>
            </w:r>
            <w:r w:rsidRPr="00726DC3">
              <w:rPr>
                <w:color w:val="000000"/>
              </w:rPr>
              <w:br/>
            </w:r>
            <w:r w:rsidRPr="00726DC3">
              <w:rPr>
                <w:color w:val="000000"/>
              </w:rPr>
              <w:t>Homelessness Strategy</w:t>
            </w:r>
          </w:p>
        </w:tc>
      </w:tr>
      <w:tr w:rsidRPr="00726DC3" w:rsidR="009A7746" w:rsidTr="00370486" w14:paraId="7A7ACF65" w14:textId="77777777">
        <w:trPr>
          <w:cantSplit/>
        </w:trPr>
        <w:tc>
          <w:tcPr>
            <w:tcW w:w="0" w:type="auto"/>
            <w:vMerge/>
          </w:tcPr>
          <w:p w:rsidRPr="00726DC3" w:rsidR="009A7746" w:rsidP="00370486" w:rsidRDefault="009A7746" w14:paraId="52374897" w14:textId="77777777"/>
        </w:tc>
        <w:tc>
          <w:tcPr>
            <w:tcW w:w="0" w:type="auto"/>
          </w:tcPr>
          <w:p w:rsidRPr="00726DC3" w:rsidR="009A7746" w:rsidP="00370486" w:rsidRDefault="009A7746" w14:paraId="2DE8A22C" w14:textId="77777777">
            <w:pPr>
              <w:keepNext/>
              <w:spacing w:before="100" w:after="0"/>
              <w:rPr>
                <w:b/>
              </w:rPr>
            </w:pPr>
            <w:r w:rsidRPr="00726DC3">
              <w:rPr>
                <w:b/>
              </w:rPr>
              <w:t>Briefly describe how the Agency/Group/Organization was consulted. What are the anticipated outcomes of the consultation or areas for improved coordination?</w:t>
            </w:r>
          </w:p>
        </w:tc>
        <w:tc>
          <w:tcPr>
            <w:tcW w:w="0" w:type="auto"/>
          </w:tcPr>
          <w:p w:rsidRPr="00726DC3" w:rsidR="009A7746" w:rsidP="00370486" w:rsidRDefault="009A7746" w14:paraId="50A2393E" w14:textId="77777777">
            <w:pPr>
              <w:spacing w:before="100" w:after="0"/>
            </w:pPr>
            <w:r w:rsidRPr="00726DC3">
              <w:rPr>
                <w:color w:val="000000"/>
              </w:rPr>
              <w:t>This agency was consulted on needs, progress, and upcoming goals.</w:t>
            </w:r>
          </w:p>
        </w:tc>
      </w:tr>
      <w:tr w:rsidRPr="00726DC3" w:rsidR="009A7746" w:rsidTr="00370486" w14:paraId="1AEAB471" w14:textId="77777777">
        <w:trPr>
          <w:cantSplit/>
        </w:trPr>
        <w:tc>
          <w:tcPr>
            <w:tcW w:w="0" w:type="auto"/>
            <w:vMerge w:val="restart"/>
          </w:tcPr>
          <w:p w:rsidRPr="00726DC3" w:rsidR="009A7746" w:rsidP="00370486" w:rsidRDefault="009A7746" w14:paraId="547347A8" w14:textId="77777777">
            <w:pPr>
              <w:keepNext/>
              <w:spacing w:before="100" w:after="0"/>
            </w:pPr>
            <w:r w:rsidRPr="00726DC3">
              <w:rPr>
                <w:color w:val="000000"/>
              </w:rPr>
              <w:t>3</w:t>
            </w:r>
          </w:p>
        </w:tc>
        <w:tc>
          <w:tcPr>
            <w:tcW w:w="0" w:type="auto"/>
          </w:tcPr>
          <w:p w:rsidRPr="00726DC3" w:rsidR="009A7746" w:rsidP="00370486" w:rsidRDefault="009A7746" w14:paraId="6590DC82" w14:textId="77777777">
            <w:pPr>
              <w:keepNext/>
              <w:spacing w:before="100" w:after="0"/>
              <w:rPr>
                <w:b/>
              </w:rPr>
            </w:pPr>
            <w:r w:rsidRPr="00726DC3">
              <w:rPr>
                <w:b/>
              </w:rPr>
              <w:t>Agency/Group/Organization</w:t>
            </w:r>
          </w:p>
        </w:tc>
        <w:tc>
          <w:tcPr>
            <w:tcW w:w="0" w:type="auto"/>
          </w:tcPr>
          <w:p w:rsidRPr="00726DC3" w:rsidR="009A7746" w:rsidP="00370486" w:rsidRDefault="009A7746" w14:paraId="01685753" w14:textId="77777777">
            <w:pPr>
              <w:spacing w:before="100" w:after="0"/>
            </w:pPr>
            <w:r w:rsidRPr="00726DC3">
              <w:rPr>
                <w:color w:val="000000"/>
              </w:rPr>
              <w:t>CHAMPLAIN HOUSING TRUST</w:t>
            </w:r>
          </w:p>
        </w:tc>
      </w:tr>
      <w:tr w:rsidRPr="00726DC3" w:rsidR="009A7746" w:rsidTr="00370486" w14:paraId="63143B1B" w14:textId="77777777">
        <w:trPr>
          <w:cantSplit/>
        </w:trPr>
        <w:tc>
          <w:tcPr>
            <w:tcW w:w="0" w:type="auto"/>
            <w:vMerge/>
          </w:tcPr>
          <w:p w:rsidRPr="00726DC3" w:rsidR="009A7746" w:rsidP="00370486" w:rsidRDefault="009A7746" w14:paraId="391909C0" w14:textId="77777777"/>
        </w:tc>
        <w:tc>
          <w:tcPr>
            <w:tcW w:w="0" w:type="auto"/>
          </w:tcPr>
          <w:p w:rsidRPr="00726DC3" w:rsidR="009A7746" w:rsidP="00370486" w:rsidRDefault="009A7746" w14:paraId="1097E0A9" w14:textId="77777777">
            <w:pPr>
              <w:keepNext/>
              <w:spacing w:before="100" w:after="0"/>
              <w:rPr>
                <w:b/>
              </w:rPr>
            </w:pPr>
            <w:r w:rsidRPr="00726DC3">
              <w:rPr>
                <w:b/>
              </w:rPr>
              <w:t>Agency/Group/Organization Type</w:t>
            </w:r>
          </w:p>
        </w:tc>
        <w:tc>
          <w:tcPr>
            <w:tcW w:w="0" w:type="auto"/>
          </w:tcPr>
          <w:p w:rsidRPr="00726DC3" w:rsidR="009A7746" w:rsidP="00370486" w:rsidRDefault="009A7746" w14:paraId="2D925D5B" w14:textId="77777777">
            <w:pPr>
              <w:spacing w:before="100" w:after="0"/>
            </w:pPr>
            <w:r w:rsidRPr="00726DC3">
              <w:rPr>
                <w:color w:val="000000"/>
              </w:rPr>
              <w:t>Housing</w:t>
            </w:r>
          </w:p>
        </w:tc>
      </w:tr>
      <w:tr w:rsidRPr="00EE3232" w:rsidR="009A7746" w:rsidTr="00370486" w14:paraId="3147C456" w14:textId="77777777">
        <w:trPr>
          <w:cantSplit/>
        </w:trPr>
        <w:tc>
          <w:tcPr>
            <w:tcW w:w="0" w:type="auto"/>
            <w:vMerge/>
          </w:tcPr>
          <w:p w:rsidRPr="00726DC3" w:rsidR="009A7746" w:rsidP="00370486" w:rsidRDefault="009A7746" w14:paraId="1A2C6CDA" w14:textId="77777777"/>
        </w:tc>
        <w:tc>
          <w:tcPr>
            <w:tcW w:w="0" w:type="auto"/>
          </w:tcPr>
          <w:p w:rsidRPr="00726DC3" w:rsidR="009A7746" w:rsidP="00370486" w:rsidRDefault="009A7746" w14:paraId="3558AC35" w14:textId="77777777">
            <w:pPr>
              <w:keepNext/>
              <w:spacing w:before="100" w:after="0"/>
              <w:rPr>
                <w:b/>
              </w:rPr>
            </w:pPr>
            <w:r w:rsidRPr="00726DC3">
              <w:rPr>
                <w:b/>
              </w:rPr>
              <w:t>What section of the Plan was addressed by Consultation?</w:t>
            </w:r>
          </w:p>
        </w:tc>
        <w:tc>
          <w:tcPr>
            <w:tcW w:w="0" w:type="auto"/>
          </w:tcPr>
          <w:p w:rsidRPr="00726DC3" w:rsidR="009A7746" w:rsidP="00370486" w:rsidRDefault="009A7746" w14:paraId="25D32BE5" w14:textId="77777777">
            <w:pPr>
              <w:spacing w:before="100" w:after="0"/>
            </w:pPr>
            <w:r w:rsidRPr="00726DC3">
              <w:rPr>
                <w:color w:val="000000"/>
              </w:rPr>
              <w:t>Housing Need Assessment</w:t>
            </w:r>
          </w:p>
        </w:tc>
      </w:tr>
      <w:tr w:rsidRPr="00EE3232" w:rsidR="009A7746" w:rsidTr="00370486" w14:paraId="4B79872F" w14:textId="77777777">
        <w:trPr>
          <w:cantSplit/>
        </w:trPr>
        <w:tc>
          <w:tcPr>
            <w:tcW w:w="0" w:type="auto"/>
            <w:vMerge/>
          </w:tcPr>
          <w:p w:rsidRPr="00EE3232" w:rsidR="009A7746" w:rsidP="00370486" w:rsidRDefault="009A7746" w14:paraId="2943F069" w14:textId="77777777">
            <w:pPr>
              <w:rPr>
                <w:highlight w:val="yellow"/>
              </w:rPr>
            </w:pPr>
          </w:p>
        </w:tc>
        <w:tc>
          <w:tcPr>
            <w:tcW w:w="0" w:type="auto"/>
          </w:tcPr>
          <w:p w:rsidRPr="00726DC3" w:rsidR="009A7746" w:rsidP="00370486" w:rsidRDefault="009A7746" w14:paraId="2E6AA577" w14:textId="77777777">
            <w:pPr>
              <w:keepNext/>
              <w:spacing w:before="100" w:after="0"/>
              <w:rPr>
                <w:b/>
              </w:rPr>
            </w:pPr>
            <w:r w:rsidRPr="00726DC3">
              <w:rPr>
                <w:b/>
              </w:rPr>
              <w:t>Briefly describe how the Agency/Group/Organization was consulted. What are the anticipated outcomes of the consultation or areas for improved coordination?</w:t>
            </w:r>
          </w:p>
        </w:tc>
        <w:tc>
          <w:tcPr>
            <w:tcW w:w="0" w:type="auto"/>
          </w:tcPr>
          <w:p w:rsidRPr="00726DC3" w:rsidR="009A7746" w:rsidP="00370486" w:rsidRDefault="009A7746" w14:paraId="4C5A9E59" w14:textId="77777777">
            <w:pPr>
              <w:spacing w:before="100" w:after="0"/>
            </w:pPr>
            <w:r w:rsidRPr="00726DC3">
              <w:rPr>
                <w:color w:val="000000"/>
              </w:rPr>
              <w:t>This agency was consulted on needs, progress, and upcoming goals.</w:t>
            </w:r>
          </w:p>
        </w:tc>
      </w:tr>
      <w:tr w:rsidRPr="00EE3232" w:rsidR="009A7746" w:rsidTr="00370486" w14:paraId="77DB5AD1" w14:textId="77777777">
        <w:trPr>
          <w:cantSplit/>
        </w:trPr>
        <w:tc>
          <w:tcPr>
            <w:tcW w:w="0" w:type="auto"/>
            <w:vMerge w:val="restart"/>
          </w:tcPr>
          <w:p w:rsidRPr="00EE3232" w:rsidR="009A7746" w:rsidP="00370486" w:rsidRDefault="009A7746" w14:paraId="10440186" w14:textId="77777777">
            <w:pPr>
              <w:keepNext/>
              <w:spacing w:before="100" w:after="0"/>
              <w:rPr>
                <w:highlight w:val="yellow"/>
              </w:rPr>
            </w:pPr>
            <w:r w:rsidRPr="00BD3B67">
              <w:rPr>
                <w:color w:val="000000"/>
              </w:rPr>
              <w:t>4</w:t>
            </w:r>
          </w:p>
        </w:tc>
        <w:tc>
          <w:tcPr>
            <w:tcW w:w="0" w:type="auto"/>
          </w:tcPr>
          <w:p w:rsidRPr="00726DC3" w:rsidR="009A7746" w:rsidP="00370486" w:rsidRDefault="009A7746" w14:paraId="1BFB374A" w14:textId="77777777">
            <w:pPr>
              <w:keepNext/>
              <w:spacing w:before="100" w:after="0"/>
              <w:rPr>
                <w:b/>
              </w:rPr>
            </w:pPr>
            <w:r w:rsidRPr="00726DC3">
              <w:rPr>
                <w:b/>
              </w:rPr>
              <w:t>Agency/Group/Organization</w:t>
            </w:r>
          </w:p>
        </w:tc>
        <w:tc>
          <w:tcPr>
            <w:tcW w:w="0" w:type="auto"/>
          </w:tcPr>
          <w:p w:rsidRPr="00726DC3" w:rsidR="009A7746" w:rsidP="00370486" w:rsidRDefault="009A7746" w14:paraId="0F84E1E9" w14:textId="77777777">
            <w:pPr>
              <w:spacing w:before="100" w:after="0"/>
            </w:pPr>
            <w:r w:rsidRPr="00726DC3">
              <w:rPr>
                <w:color w:val="000000"/>
              </w:rPr>
              <w:t>Vermont Agency of Human Services</w:t>
            </w:r>
          </w:p>
        </w:tc>
      </w:tr>
      <w:tr w:rsidRPr="00EE3232" w:rsidR="009A7746" w:rsidTr="00370486" w14:paraId="597CA24F" w14:textId="77777777">
        <w:trPr>
          <w:cantSplit/>
        </w:trPr>
        <w:tc>
          <w:tcPr>
            <w:tcW w:w="0" w:type="auto"/>
            <w:vMerge/>
          </w:tcPr>
          <w:p w:rsidRPr="00EE3232" w:rsidR="009A7746" w:rsidP="00370486" w:rsidRDefault="009A7746" w14:paraId="35380674" w14:textId="77777777">
            <w:pPr>
              <w:rPr>
                <w:highlight w:val="yellow"/>
              </w:rPr>
            </w:pPr>
          </w:p>
        </w:tc>
        <w:tc>
          <w:tcPr>
            <w:tcW w:w="0" w:type="auto"/>
          </w:tcPr>
          <w:p w:rsidRPr="00726DC3" w:rsidR="009A7746" w:rsidP="00370486" w:rsidRDefault="009A7746" w14:paraId="415C53CD" w14:textId="77777777">
            <w:pPr>
              <w:keepNext/>
              <w:spacing w:before="100" w:after="0"/>
              <w:rPr>
                <w:b/>
              </w:rPr>
            </w:pPr>
            <w:r w:rsidRPr="00726DC3">
              <w:rPr>
                <w:b/>
              </w:rPr>
              <w:t>Agency/Group/Organization Type</w:t>
            </w:r>
          </w:p>
        </w:tc>
        <w:tc>
          <w:tcPr>
            <w:tcW w:w="0" w:type="auto"/>
          </w:tcPr>
          <w:p w:rsidRPr="00726DC3" w:rsidR="009A7746" w:rsidP="00370486" w:rsidRDefault="009A7746" w14:paraId="0E07BA24" w14:textId="77777777">
            <w:pPr>
              <w:spacing w:before="100" w:after="0"/>
            </w:pPr>
            <w:r w:rsidRPr="00726DC3">
              <w:rPr>
                <w:color w:val="000000"/>
              </w:rPr>
              <w:t>Other government - State</w:t>
            </w:r>
          </w:p>
        </w:tc>
      </w:tr>
      <w:tr w:rsidRPr="00EE3232" w:rsidR="009A7746" w:rsidTr="00370486" w14:paraId="675E2409" w14:textId="77777777">
        <w:trPr>
          <w:cantSplit/>
        </w:trPr>
        <w:tc>
          <w:tcPr>
            <w:tcW w:w="0" w:type="auto"/>
            <w:vMerge/>
          </w:tcPr>
          <w:p w:rsidRPr="00EE3232" w:rsidR="009A7746" w:rsidP="00370486" w:rsidRDefault="009A7746" w14:paraId="1D6BA97C" w14:textId="77777777">
            <w:pPr>
              <w:rPr>
                <w:highlight w:val="yellow"/>
              </w:rPr>
            </w:pPr>
          </w:p>
        </w:tc>
        <w:tc>
          <w:tcPr>
            <w:tcW w:w="0" w:type="auto"/>
          </w:tcPr>
          <w:p w:rsidRPr="00726DC3" w:rsidR="009A7746" w:rsidP="00370486" w:rsidRDefault="009A7746" w14:paraId="4651CC65" w14:textId="77777777">
            <w:pPr>
              <w:keepNext/>
              <w:spacing w:before="100" w:after="0"/>
              <w:rPr>
                <w:b/>
              </w:rPr>
            </w:pPr>
            <w:r w:rsidRPr="00726DC3">
              <w:rPr>
                <w:b/>
              </w:rPr>
              <w:t>What section of the Plan was addressed by Consultation?</w:t>
            </w:r>
          </w:p>
        </w:tc>
        <w:tc>
          <w:tcPr>
            <w:tcW w:w="0" w:type="auto"/>
          </w:tcPr>
          <w:p w:rsidRPr="00726DC3" w:rsidR="009A7746" w:rsidP="00370486" w:rsidRDefault="009A7746" w14:paraId="4B1B0A12" w14:textId="77777777">
            <w:pPr>
              <w:spacing w:before="100" w:after="0"/>
            </w:pPr>
            <w:r w:rsidRPr="00726DC3">
              <w:rPr>
                <w:color w:val="000000"/>
              </w:rPr>
              <w:t>Homelessness Strategy</w:t>
            </w:r>
            <w:r w:rsidRPr="00726DC3">
              <w:rPr>
                <w:color w:val="000000"/>
              </w:rPr>
              <w:br/>
            </w:r>
            <w:r w:rsidRPr="00726DC3">
              <w:rPr>
                <w:color w:val="000000"/>
              </w:rPr>
              <w:t>Coordination of funds and services</w:t>
            </w:r>
          </w:p>
        </w:tc>
      </w:tr>
      <w:tr w:rsidRPr="00EE3232" w:rsidR="009A7746" w:rsidTr="00370486" w14:paraId="6ACD19F7" w14:textId="77777777">
        <w:trPr>
          <w:cantSplit/>
        </w:trPr>
        <w:tc>
          <w:tcPr>
            <w:tcW w:w="0" w:type="auto"/>
            <w:vMerge/>
          </w:tcPr>
          <w:p w:rsidRPr="00EE3232" w:rsidR="009A7746" w:rsidP="00370486" w:rsidRDefault="009A7746" w14:paraId="219962C2" w14:textId="77777777">
            <w:pPr>
              <w:rPr>
                <w:highlight w:val="yellow"/>
              </w:rPr>
            </w:pPr>
          </w:p>
        </w:tc>
        <w:tc>
          <w:tcPr>
            <w:tcW w:w="0" w:type="auto"/>
          </w:tcPr>
          <w:p w:rsidRPr="00726DC3" w:rsidR="009A7746" w:rsidP="00370486" w:rsidRDefault="009A7746" w14:paraId="146E7F20" w14:textId="77777777">
            <w:pPr>
              <w:keepNext/>
              <w:spacing w:before="100" w:after="0"/>
              <w:rPr>
                <w:b/>
              </w:rPr>
            </w:pPr>
            <w:r w:rsidRPr="00726DC3">
              <w:rPr>
                <w:b/>
              </w:rPr>
              <w:t>Briefly describe how the Agency/Group/Organization was consulted. What are the anticipated outcomes of the consultation or areas for improved coordination?</w:t>
            </w:r>
          </w:p>
        </w:tc>
        <w:tc>
          <w:tcPr>
            <w:tcW w:w="0" w:type="auto"/>
          </w:tcPr>
          <w:p w:rsidRPr="00726DC3" w:rsidR="009A7746" w:rsidP="00370486" w:rsidRDefault="009A7746" w14:paraId="6E0FAF83" w14:textId="77777777">
            <w:pPr>
              <w:spacing w:before="100" w:after="0"/>
            </w:pPr>
            <w:r w:rsidRPr="00726DC3">
              <w:rPr>
                <w:color w:val="000000"/>
              </w:rPr>
              <w:t>The agency was involved in the review of potential CDBG projects and consulted on upcoming goals and strategies.</w:t>
            </w:r>
          </w:p>
        </w:tc>
      </w:tr>
      <w:tr w:rsidRPr="00EE3232" w:rsidR="009A7746" w:rsidTr="00370486" w14:paraId="159FA16D" w14:textId="77777777">
        <w:trPr>
          <w:cantSplit/>
        </w:trPr>
        <w:tc>
          <w:tcPr>
            <w:tcW w:w="0" w:type="auto"/>
            <w:vMerge w:val="restart"/>
          </w:tcPr>
          <w:p w:rsidRPr="00F210B0" w:rsidR="009A7746" w:rsidP="00370486" w:rsidRDefault="009A7746" w14:paraId="596A0FCA" w14:textId="77777777">
            <w:pPr>
              <w:keepNext/>
              <w:spacing w:before="100" w:after="0"/>
            </w:pPr>
            <w:r w:rsidRPr="00F210B0">
              <w:rPr>
                <w:color w:val="000000"/>
              </w:rPr>
              <w:t>5</w:t>
            </w:r>
          </w:p>
        </w:tc>
        <w:tc>
          <w:tcPr>
            <w:tcW w:w="0" w:type="auto"/>
          </w:tcPr>
          <w:p w:rsidRPr="00F210B0" w:rsidR="009A7746" w:rsidP="00370486" w:rsidRDefault="009A7746" w14:paraId="54ECAA59" w14:textId="77777777">
            <w:pPr>
              <w:keepNext/>
              <w:spacing w:before="100" w:after="0"/>
              <w:rPr>
                <w:b/>
              </w:rPr>
            </w:pPr>
            <w:r w:rsidRPr="00F210B0">
              <w:rPr>
                <w:b/>
              </w:rPr>
              <w:t>Agency/Group/Organization</w:t>
            </w:r>
          </w:p>
        </w:tc>
        <w:tc>
          <w:tcPr>
            <w:tcW w:w="0" w:type="auto"/>
          </w:tcPr>
          <w:p w:rsidRPr="00F210B0" w:rsidR="009A7746" w:rsidP="00370486" w:rsidRDefault="009A7746" w14:paraId="164FFCBD" w14:textId="77777777">
            <w:pPr>
              <w:spacing w:before="100" w:after="0"/>
            </w:pPr>
            <w:r w:rsidRPr="00F210B0">
              <w:rPr>
                <w:color w:val="000000"/>
              </w:rPr>
              <w:t>Continuum of Care</w:t>
            </w:r>
          </w:p>
        </w:tc>
      </w:tr>
      <w:tr w:rsidRPr="00EE3232" w:rsidR="009A7746" w:rsidTr="00370486" w14:paraId="6172518C" w14:textId="77777777">
        <w:trPr>
          <w:cantSplit/>
        </w:trPr>
        <w:tc>
          <w:tcPr>
            <w:tcW w:w="0" w:type="auto"/>
            <w:vMerge/>
          </w:tcPr>
          <w:p w:rsidRPr="00F210B0" w:rsidR="009A7746" w:rsidP="00370486" w:rsidRDefault="009A7746" w14:paraId="28008002" w14:textId="77777777"/>
        </w:tc>
        <w:tc>
          <w:tcPr>
            <w:tcW w:w="0" w:type="auto"/>
          </w:tcPr>
          <w:p w:rsidRPr="00F210B0" w:rsidR="009A7746" w:rsidP="00370486" w:rsidRDefault="009A7746" w14:paraId="363B830D" w14:textId="77777777">
            <w:pPr>
              <w:keepNext/>
              <w:spacing w:before="100" w:after="0"/>
              <w:rPr>
                <w:b/>
              </w:rPr>
            </w:pPr>
            <w:r w:rsidRPr="00F210B0">
              <w:rPr>
                <w:b/>
              </w:rPr>
              <w:t>Agency/Group/Organization Type</w:t>
            </w:r>
          </w:p>
        </w:tc>
        <w:tc>
          <w:tcPr>
            <w:tcW w:w="0" w:type="auto"/>
          </w:tcPr>
          <w:p w:rsidRPr="00F210B0" w:rsidR="009A7746" w:rsidP="00370486" w:rsidRDefault="009A7746" w14:paraId="241F57A6" w14:textId="77777777">
            <w:pPr>
              <w:spacing w:before="100" w:after="0"/>
            </w:pPr>
            <w:r w:rsidRPr="00F210B0">
              <w:rPr>
                <w:color w:val="000000"/>
              </w:rPr>
              <w:t>Services-homeless</w:t>
            </w:r>
          </w:p>
        </w:tc>
      </w:tr>
      <w:tr w:rsidRPr="00EE3232" w:rsidR="009A7746" w:rsidTr="00370486" w14:paraId="1FE83311" w14:textId="77777777">
        <w:trPr>
          <w:cantSplit/>
        </w:trPr>
        <w:tc>
          <w:tcPr>
            <w:tcW w:w="0" w:type="auto"/>
            <w:vMerge/>
          </w:tcPr>
          <w:p w:rsidRPr="00F210B0" w:rsidR="009A7746" w:rsidP="00370486" w:rsidRDefault="009A7746" w14:paraId="79AF4451" w14:textId="77777777"/>
        </w:tc>
        <w:tc>
          <w:tcPr>
            <w:tcW w:w="0" w:type="auto"/>
          </w:tcPr>
          <w:p w:rsidRPr="00F210B0" w:rsidR="009A7746" w:rsidP="00370486" w:rsidRDefault="009A7746" w14:paraId="53DCDD2C" w14:textId="77777777">
            <w:pPr>
              <w:keepNext/>
              <w:spacing w:before="100" w:after="0"/>
              <w:rPr>
                <w:b/>
              </w:rPr>
            </w:pPr>
            <w:r w:rsidRPr="00F210B0">
              <w:rPr>
                <w:b/>
              </w:rPr>
              <w:t>What section of the Plan was addressed by Consultation?</w:t>
            </w:r>
          </w:p>
        </w:tc>
        <w:tc>
          <w:tcPr>
            <w:tcW w:w="0" w:type="auto"/>
          </w:tcPr>
          <w:p w:rsidRPr="00F210B0" w:rsidR="009A7746" w:rsidP="00370486" w:rsidRDefault="009A7746" w14:paraId="5B1DC3AA" w14:textId="77777777">
            <w:pPr>
              <w:spacing w:before="100" w:after="0"/>
            </w:pPr>
            <w:r w:rsidRPr="00F210B0">
              <w:rPr>
                <w:color w:val="000000"/>
              </w:rPr>
              <w:t>Homeless Needs - Chronically homeless</w:t>
            </w:r>
            <w:r w:rsidRPr="00F210B0">
              <w:rPr>
                <w:color w:val="000000"/>
              </w:rPr>
              <w:br/>
            </w:r>
            <w:r w:rsidRPr="00F210B0">
              <w:rPr>
                <w:color w:val="000000"/>
              </w:rPr>
              <w:t>Homeless Needs - Families with children</w:t>
            </w:r>
            <w:r w:rsidRPr="00F210B0">
              <w:rPr>
                <w:color w:val="000000"/>
              </w:rPr>
              <w:br/>
            </w:r>
            <w:r w:rsidRPr="00F210B0">
              <w:rPr>
                <w:color w:val="000000"/>
              </w:rPr>
              <w:t>Homelessness Needs - Veterans</w:t>
            </w:r>
            <w:r w:rsidRPr="00F210B0">
              <w:rPr>
                <w:color w:val="000000"/>
              </w:rPr>
              <w:br/>
            </w:r>
            <w:r w:rsidRPr="00F210B0">
              <w:rPr>
                <w:color w:val="000000"/>
              </w:rPr>
              <w:t>Homelessness Needs - Unaccompanied youth</w:t>
            </w:r>
            <w:r w:rsidRPr="00F210B0">
              <w:rPr>
                <w:color w:val="000000"/>
              </w:rPr>
              <w:br/>
            </w:r>
            <w:r w:rsidRPr="00F210B0">
              <w:rPr>
                <w:color w:val="000000"/>
              </w:rPr>
              <w:t>Homelessness Strategy</w:t>
            </w:r>
          </w:p>
        </w:tc>
      </w:tr>
      <w:tr w:rsidRPr="00EE3232" w:rsidR="009A7746" w:rsidTr="00370486" w14:paraId="7AA1B54D" w14:textId="77777777">
        <w:trPr>
          <w:cantSplit/>
        </w:trPr>
        <w:tc>
          <w:tcPr>
            <w:tcW w:w="0" w:type="auto"/>
            <w:vMerge/>
          </w:tcPr>
          <w:p w:rsidRPr="00F210B0" w:rsidR="009A7746" w:rsidP="00370486" w:rsidRDefault="009A7746" w14:paraId="29FBD2A4" w14:textId="77777777"/>
        </w:tc>
        <w:tc>
          <w:tcPr>
            <w:tcW w:w="0" w:type="auto"/>
          </w:tcPr>
          <w:p w:rsidRPr="00F210B0" w:rsidR="009A7746" w:rsidP="00370486" w:rsidRDefault="009A7746" w14:paraId="3CCCB1A6" w14:textId="77777777">
            <w:pPr>
              <w:keepNext/>
              <w:spacing w:before="100" w:after="0"/>
              <w:rPr>
                <w:b/>
              </w:rPr>
            </w:pPr>
            <w:r w:rsidRPr="00F210B0">
              <w:rPr>
                <w:b/>
              </w:rPr>
              <w:t>Briefly describe how the Agency/Group/Organization was consulted. What are the anticipated outcomes of the consultation or areas for improved coordination?</w:t>
            </w:r>
          </w:p>
        </w:tc>
        <w:tc>
          <w:tcPr>
            <w:tcW w:w="0" w:type="auto"/>
          </w:tcPr>
          <w:p w:rsidRPr="00F210B0" w:rsidR="009A7746" w:rsidP="00370486" w:rsidRDefault="009A7746" w14:paraId="13C7FF81" w14:textId="77777777">
            <w:pPr>
              <w:spacing w:before="100" w:after="0"/>
            </w:pPr>
            <w:r w:rsidRPr="00F210B0">
              <w:rPr>
                <w:color w:val="000000"/>
              </w:rPr>
              <w:t>Members of the Continuum were consulted to update homeless progress, strategies, and goals.  They were also consulted to review and comment on the Plan.</w:t>
            </w:r>
          </w:p>
        </w:tc>
      </w:tr>
      <w:tr w:rsidRPr="00EE3232" w:rsidR="009A7746" w:rsidTr="00370486" w14:paraId="68777FB1" w14:textId="77777777">
        <w:trPr>
          <w:cantSplit/>
        </w:trPr>
        <w:tc>
          <w:tcPr>
            <w:tcW w:w="0" w:type="auto"/>
            <w:vMerge w:val="restart"/>
          </w:tcPr>
          <w:p w:rsidRPr="00EE3232" w:rsidR="009A7746" w:rsidP="00370486" w:rsidRDefault="009A7746" w14:paraId="28B54914" w14:textId="77777777">
            <w:pPr>
              <w:keepNext/>
              <w:spacing w:before="100" w:after="0"/>
              <w:rPr>
                <w:highlight w:val="yellow"/>
              </w:rPr>
            </w:pPr>
            <w:r w:rsidRPr="00F210B0">
              <w:rPr>
                <w:color w:val="000000"/>
              </w:rPr>
              <w:t>6</w:t>
            </w:r>
          </w:p>
        </w:tc>
        <w:tc>
          <w:tcPr>
            <w:tcW w:w="0" w:type="auto"/>
          </w:tcPr>
          <w:p w:rsidRPr="00F210B0" w:rsidR="009A7746" w:rsidP="00370486" w:rsidRDefault="009A7746" w14:paraId="4DC152B7" w14:textId="77777777">
            <w:pPr>
              <w:keepNext/>
              <w:spacing w:before="100" w:after="0"/>
              <w:rPr>
                <w:b/>
              </w:rPr>
            </w:pPr>
            <w:r w:rsidRPr="00F210B0">
              <w:rPr>
                <w:b/>
              </w:rPr>
              <w:t>Agency/Group/Organization</w:t>
            </w:r>
          </w:p>
        </w:tc>
        <w:tc>
          <w:tcPr>
            <w:tcW w:w="0" w:type="auto"/>
          </w:tcPr>
          <w:p w:rsidRPr="00F210B0" w:rsidR="009A7746" w:rsidP="00370486" w:rsidRDefault="009A7746" w14:paraId="0C8F1724" w14:textId="77777777">
            <w:pPr>
              <w:spacing w:before="100" w:after="0"/>
            </w:pPr>
            <w:r w:rsidRPr="00F210B0">
              <w:rPr>
                <w:color w:val="000000"/>
              </w:rPr>
              <w:t>BURLINGTON HOUSING AUTHORITY</w:t>
            </w:r>
          </w:p>
        </w:tc>
      </w:tr>
      <w:tr w:rsidRPr="00EE3232" w:rsidR="009A7746" w:rsidTr="00370486" w14:paraId="33E01168" w14:textId="77777777">
        <w:trPr>
          <w:cantSplit/>
        </w:trPr>
        <w:tc>
          <w:tcPr>
            <w:tcW w:w="0" w:type="auto"/>
            <w:vMerge/>
          </w:tcPr>
          <w:p w:rsidRPr="00EE3232" w:rsidR="009A7746" w:rsidP="00370486" w:rsidRDefault="009A7746" w14:paraId="4B6A8B4E" w14:textId="77777777">
            <w:pPr>
              <w:rPr>
                <w:highlight w:val="yellow"/>
              </w:rPr>
            </w:pPr>
          </w:p>
        </w:tc>
        <w:tc>
          <w:tcPr>
            <w:tcW w:w="0" w:type="auto"/>
          </w:tcPr>
          <w:p w:rsidRPr="00F210B0" w:rsidR="009A7746" w:rsidP="00370486" w:rsidRDefault="009A7746" w14:paraId="516F1FA7" w14:textId="77777777">
            <w:pPr>
              <w:keepNext/>
              <w:spacing w:before="100" w:after="0"/>
              <w:rPr>
                <w:b/>
              </w:rPr>
            </w:pPr>
            <w:r w:rsidRPr="00F210B0">
              <w:rPr>
                <w:b/>
              </w:rPr>
              <w:t>Agency/Group/Organization Type</w:t>
            </w:r>
          </w:p>
        </w:tc>
        <w:tc>
          <w:tcPr>
            <w:tcW w:w="0" w:type="auto"/>
          </w:tcPr>
          <w:p w:rsidRPr="00F210B0" w:rsidR="009A7746" w:rsidP="00370486" w:rsidRDefault="009A7746" w14:paraId="2F1E2E39" w14:textId="77777777">
            <w:pPr>
              <w:spacing w:before="100" w:after="0"/>
            </w:pPr>
            <w:r w:rsidRPr="00F210B0">
              <w:rPr>
                <w:color w:val="000000"/>
              </w:rPr>
              <w:t>PHA</w:t>
            </w:r>
          </w:p>
        </w:tc>
      </w:tr>
      <w:tr w:rsidRPr="00EE3232" w:rsidR="009A7746" w:rsidTr="00370486" w14:paraId="33D1ABFB" w14:textId="77777777">
        <w:trPr>
          <w:cantSplit/>
        </w:trPr>
        <w:tc>
          <w:tcPr>
            <w:tcW w:w="0" w:type="auto"/>
            <w:vMerge/>
          </w:tcPr>
          <w:p w:rsidRPr="00EE3232" w:rsidR="009A7746" w:rsidP="00370486" w:rsidRDefault="009A7746" w14:paraId="36088E4F" w14:textId="77777777">
            <w:pPr>
              <w:rPr>
                <w:highlight w:val="yellow"/>
              </w:rPr>
            </w:pPr>
          </w:p>
        </w:tc>
        <w:tc>
          <w:tcPr>
            <w:tcW w:w="0" w:type="auto"/>
          </w:tcPr>
          <w:p w:rsidRPr="00F210B0" w:rsidR="009A7746" w:rsidP="00370486" w:rsidRDefault="009A7746" w14:paraId="01484A24" w14:textId="77777777">
            <w:pPr>
              <w:keepNext/>
              <w:spacing w:before="100" w:after="0"/>
              <w:rPr>
                <w:b/>
              </w:rPr>
            </w:pPr>
            <w:r w:rsidRPr="00F210B0">
              <w:rPr>
                <w:b/>
              </w:rPr>
              <w:t>What section of the Plan was addressed by Consultation?</w:t>
            </w:r>
          </w:p>
        </w:tc>
        <w:tc>
          <w:tcPr>
            <w:tcW w:w="0" w:type="auto"/>
          </w:tcPr>
          <w:p w:rsidRPr="00F210B0" w:rsidR="009A7746" w:rsidP="00370486" w:rsidRDefault="009A7746" w14:paraId="4D50E799" w14:textId="77777777">
            <w:pPr>
              <w:spacing w:before="100" w:after="0"/>
            </w:pPr>
            <w:r w:rsidRPr="00F210B0">
              <w:rPr>
                <w:color w:val="000000"/>
              </w:rPr>
              <w:t>Public Housing Needs</w:t>
            </w:r>
            <w:r w:rsidRPr="00F210B0">
              <w:rPr>
                <w:color w:val="000000"/>
              </w:rPr>
              <w:br/>
            </w:r>
            <w:r w:rsidRPr="00F210B0">
              <w:rPr>
                <w:color w:val="000000"/>
              </w:rPr>
              <w:t>HOPWA Strategy</w:t>
            </w:r>
          </w:p>
        </w:tc>
      </w:tr>
      <w:tr w:rsidRPr="00F210B0" w:rsidR="009A7746" w:rsidTr="00370486" w14:paraId="2F640229" w14:textId="77777777">
        <w:trPr>
          <w:cantSplit/>
        </w:trPr>
        <w:tc>
          <w:tcPr>
            <w:tcW w:w="0" w:type="auto"/>
            <w:vMerge/>
          </w:tcPr>
          <w:p w:rsidRPr="00F210B0" w:rsidR="009A7746" w:rsidP="00370486" w:rsidRDefault="009A7746" w14:paraId="0DBF817F" w14:textId="77777777"/>
        </w:tc>
        <w:tc>
          <w:tcPr>
            <w:tcW w:w="0" w:type="auto"/>
          </w:tcPr>
          <w:p w:rsidRPr="00F210B0" w:rsidR="009A7746" w:rsidP="00370486" w:rsidRDefault="009A7746" w14:paraId="06D7994A" w14:textId="77777777">
            <w:pPr>
              <w:keepNext/>
              <w:spacing w:before="100" w:after="0"/>
              <w:rPr>
                <w:b/>
              </w:rPr>
            </w:pPr>
            <w:r w:rsidRPr="00F210B0">
              <w:rPr>
                <w:b/>
              </w:rPr>
              <w:t>Briefly describe how the Agency/Group/Organization was consulted. What are the anticipated outcomes of the consultation or areas for improved coordination?</w:t>
            </w:r>
          </w:p>
        </w:tc>
        <w:tc>
          <w:tcPr>
            <w:tcW w:w="0" w:type="auto"/>
          </w:tcPr>
          <w:p w:rsidRPr="00F210B0" w:rsidR="009A7746" w:rsidP="00370486" w:rsidRDefault="009A7746" w14:paraId="18206F8C" w14:textId="77777777">
            <w:pPr>
              <w:spacing w:before="100" w:after="0"/>
            </w:pPr>
            <w:r w:rsidRPr="00F210B0">
              <w:rPr>
                <w:color w:val="000000"/>
              </w:rPr>
              <w:t>This agency was consulted for the needs assessment, market analysis, and status of public housing programs.</w:t>
            </w:r>
          </w:p>
        </w:tc>
      </w:tr>
    </w:tbl>
    <w:p w:rsidRPr="00F210B0" w:rsidR="009A7746" w:rsidP="009A7746" w:rsidRDefault="009A7746" w14:paraId="2AB3B07E" w14:textId="77777777"/>
    <w:p w:rsidRPr="00F210B0" w:rsidR="009A7746" w:rsidP="009A7746" w:rsidRDefault="009A7746" w14:paraId="4A86A432" w14:textId="77777777">
      <w:pPr>
        <w:rPr>
          <w:b/>
          <w:sz w:val="24"/>
          <w:szCs w:val="24"/>
        </w:rPr>
      </w:pPr>
      <w:r w:rsidRPr="00F210B0">
        <w:rPr>
          <w:b/>
          <w:sz w:val="24"/>
          <w:szCs w:val="24"/>
        </w:rPr>
        <w:t>Identify any Agency Types not consulted and provide rationale for not consulting</w:t>
      </w:r>
    </w:p>
    <w:p w:rsidRPr="00F210B0" w:rsidR="009A7746" w:rsidP="009A7746" w:rsidRDefault="009A7746" w14:paraId="2A55E483" w14:textId="77777777">
      <w:pPr>
        <w:spacing w:beforeAutospacing="1" w:afterAutospacing="1"/>
        <w:rPr>
          <w:rFonts w:cs="Arial"/>
        </w:rPr>
      </w:pPr>
      <w:r w:rsidRPr="00F210B0">
        <w:rPr>
          <w:rFonts w:cs="Arial"/>
        </w:rPr>
        <w:t>There were no agencies not consulted in our process. </w:t>
      </w:r>
    </w:p>
    <w:p w:rsidRPr="00EE3232" w:rsidR="009A7746" w:rsidP="009A7746" w:rsidRDefault="009A7746" w14:paraId="3C2C40F8" w14:textId="77777777">
      <w:pPr>
        <w:rPr>
          <w:rFonts w:cs="Arial"/>
          <w:highlight w:val="yellow"/>
        </w:rPr>
      </w:pPr>
    </w:p>
    <w:p w:rsidRPr="00F210B0" w:rsidR="009A7746" w:rsidP="009A7746" w:rsidRDefault="009A7746" w14:paraId="08C53999" w14:textId="77777777">
      <w:pPr>
        <w:keepNext/>
        <w:rPr>
          <w:b/>
          <w:sz w:val="24"/>
          <w:szCs w:val="24"/>
        </w:rPr>
      </w:pPr>
      <w:r w:rsidRPr="00F210B0">
        <w:rPr>
          <w:b/>
          <w:sz w:val="24"/>
          <w:szCs w:val="24"/>
        </w:rPr>
        <w:t>Other local/regional/state/federal planning efforts considered when preparing the Plan</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88"/>
        <w:gridCol w:w="1754"/>
        <w:gridCol w:w="6108"/>
      </w:tblGrid>
      <w:tr w:rsidRPr="00F210B0" w:rsidR="009A7746" w:rsidTr="00370486" w14:paraId="7261D4E5" w14:textId="77777777">
        <w:trPr>
          <w:cantSplit/>
          <w:tblHeader/>
        </w:trPr>
        <w:tc>
          <w:tcPr>
            <w:tcW w:w="3192" w:type="dxa"/>
          </w:tcPr>
          <w:p w:rsidRPr="00F210B0" w:rsidR="009A7746" w:rsidP="00370486" w:rsidRDefault="009A7746" w14:paraId="113F4B59" w14:textId="77777777">
            <w:pPr>
              <w:keepNext/>
              <w:widowControl w:val="0"/>
              <w:spacing w:after="0" w:line="240" w:lineRule="auto"/>
              <w:jc w:val="center"/>
              <w:rPr>
                <w:b/>
                <w:bCs/>
              </w:rPr>
            </w:pPr>
            <w:r w:rsidRPr="00F210B0">
              <w:rPr>
                <w:b/>
                <w:bCs/>
              </w:rPr>
              <w:t>Name of Plan</w:t>
            </w:r>
          </w:p>
        </w:tc>
        <w:tc>
          <w:tcPr>
            <w:tcW w:w="3192" w:type="dxa"/>
          </w:tcPr>
          <w:p w:rsidRPr="00F210B0" w:rsidR="009A7746" w:rsidP="00370486" w:rsidRDefault="009A7746" w14:paraId="443A419D" w14:textId="77777777">
            <w:pPr>
              <w:spacing w:after="0" w:line="240" w:lineRule="auto"/>
              <w:jc w:val="center"/>
              <w:rPr>
                <w:b/>
                <w:bCs/>
              </w:rPr>
            </w:pPr>
            <w:r w:rsidRPr="00F210B0">
              <w:rPr>
                <w:b/>
                <w:bCs/>
              </w:rPr>
              <w:t>Lead Organization</w:t>
            </w:r>
          </w:p>
        </w:tc>
        <w:tc>
          <w:tcPr>
            <w:tcW w:w="3192" w:type="dxa"/>
          </w:tcPr>
          <w:p w:rsidRPr="00F210B0" w:rsidR="009A7746" w:rsidP="00370486" w:rsidRDefault="009A7746" w14:paraId="09F40B4A" w14:textId="77777777">
            <w:pPr>
              <w:keepNext/>
              <w:widowControl w:val="0"/>
              <w:spacing w:after="0" w:line="240" w:lineRule="auto"/>
              <w:jc w:val="center"/>
              <w:rPr>
                <w:b/>
                <w:bCs/>
              </w:rPr>
            </w:pPr>
            <w:r w:rsidRPr="00F210B0">
              <w:rPr>
                <w:b/>
                <w:bCs/>
              </w:rPr>
              <w:t>How do the goals of your Strategic Plan overlap with the goals of each plan?</w:t>
            </w:r>
          </w:p>
        </w:tc>
      </w:tr>
      <w:tr w:rsidRPr="00F210B0" w:rsidR="009A7746" w:rsidTr="00370486" w14:paraId="506F45A2" w14:textId="77777777">
        <w:trPr>
          <w:cantSplit/>
        </w:trPr>
        <w:tc>
          <w:tcPr>
            <w:tcW w:w="0" w:type="auto"/>
            <w:vAlign w:val="center"/>
          </w:tcPr>
          <w:p w:rsidRPr="00F210B0" w:rsidR="009A7746" w:rsidP="00370486" w:rsidRDefault="009A7746" w14:paraId="2E314C2E" w14:textId="77777777">
            <w:pPr>
              <w:spacing w:beforeAutospacing="1" w:afterAutospacing="1"/>
            </w:pPr>
            <w:r w:rsidRPr="00F210B0">
              <w:rPr>
                <w:color w:val="000000"/>
              </w:rPr>
              <w:t>Continuum of Care</w:t>
            </w:r>
          </w:p>
        </w:tc>
        <w:tc>
          <w:tcPr>
            <w:tcW w:w="0" w:type="auto"/>
            <w:vAlign w:val="center"/>
          </w:tcPr>
          <w:p w:rsidRPr="00F210B0" w:rsidR="009A7746" w:rsidP="00370486" w:rsidRDefault="009A7746" w14:paraId="34444545" w14:textId="77777777">
            <w:pPr>
              <w:spacing w:beforeAutospacing="1" w:afterAutospacing="1"/>
            </w:pPr>
            <w:r w:rsidRPr="00F210B0">
              <w:rPr>
                <w:color w:val="000000"/>
              </w:rPr>
              <w:t>CEDO</w:t>
            </w:r>
          </w:p>
        </w:tc>
        <w:tc>
          <w:tcPr>
            <w:tcW w:w="0" w:type="auto"/>
            <w:vAlign w:val="center"/>
          </w:tcPr>
          <w:p w:rsidRPr="00F210B0" w:rsidR="009A7746" w:rsidP="00370486" w:rsidRDefault="009A7746" w14:paraId="3A2249A0" w14:textId="77777777">
            <w:pPr>
              <w:spacing w:beforeAutospacing="1" w:afterAutospacing="1"/>
            </w:pPr>
            <w:r w:rsidRPr="00F210B0">
              <w:rPr>
                <w:color w:val="000000"/>
              </w:rPr>
              <w:t>The goals to prevent homelessness, rapidly re-house the homeless, provide for basic needs, increase permanent housing overlap with our Strategic Plan goals to preserve affordable housing units, increase permanent supportive housing beds, protect the vulnerable through public services to the homeless and anti-poverty strategies.</w:t>
            </w:r>
          </w:p>
        </w:tc>
      </w:tr>
      <w:tr w:rsidRPr="00F210B0" w:rsidR="009A7746" w:rsidTr="00370486" w14:paraId="2C4E4427" w14:textId="77777777">
        <w:trPr>
          <w:cantSplit/>
        </w:trPr>
        <w:tc>
          <w:tcPr>
            <w:tcW w:w="0" w:type="auto"/>
            <w:vAlign w:val="center"/>
          </w:tcPr>
          <w:p w:rsidRPr="00F210B0" w:rsidR="009A7746" w:rsidP="00370486" w:rsidRDefault="009A7746" w14:paraId="57CF2EC4" w14:textId="77777777">
            <w:pPr>
              <w:spacing w:beforeAutospacing="1" w:afterAutospacing="1"/>
            </w:pPr>
            <w:r w:rsidRPr="00F210B0">
              <w:rPr>
                <w:color w:val="000000"/>
              </w:rPr>
              <w:t>planBTV</w:t>
            </w:r>
          </w:p>
        </w:tc>
        <w:tc>
          <w:tcPr>
            <w:tcW w:w="0" w:type="auto"/>
            <w:vAlign w:val="center"/>
          </w:tcPr>
          <w:p w:rsidRPr="00F210B0" w:rsidR="009A7746" w:rsidP="00370486" w:rsidRDefault="009A7746" w14:paraId="42420A04" w14:textId="77777777">
            <w:pPr>
              <w:spacing w:beforeAutospacing="1" w:afterAutospacing="1"/>
            </w:pPr>
            <w:r w:rsidRPr="00F210B0">
              <w:rPr>
                <w:color w:val="000000"/>
              </w:rPr>
              <w:t xml:space="preserve">City of Burlington </w:t>
            </w:r>
            <w:r>
              <w:rPr>
                <w:color w:val="000000"/>
              </w:rPr>
              <w:t>–</w:t>
            </w:r>
            <w:r w:rsidRPr="00F210B0">
              <w:rPr>
                <w:color w:val="000000"/>
              </w:rPr>
              <w:t xml:space="preserve"> </w:t>
            </w:r>
            <w:r w:rsidRPr="00142045">
              <w:rPr>
                <w:color w:val="000000"/>
              </w:rPr>
              <w:t>Planning Department</w:t>
            </w:r>
          </w:p>
        </w:tc>
        <w:tc>
          <w:tcPr>
            <w:tcW w:w="0" w:type="auto"/>
            <w:vAlign w:val="center"/>
          </w:tcPr>
          <w:p w:rsidRPr="00F210B0" w:rsidR="009A7746" w:rsidP="00370486" w:rsidRDefault="009A7746" w14:paraId="7A871C1B" w14:textId="77777777">
            <w:pPr>
              <w:spacing w:beforeAutospacing="1" w:afterAutospacing="1"/>
            </w:pPr>
            <w:r w:rsidRPr="00F210B0">
              <w:rPr>
                <w:color w:val="000000"/>
              </w:rPr>
              <w:t>The goals of economic development and increasing housing options overlap with planBTV's goals and recommendations for the City of Burlington and the downtown/waterfront areas.</w:t>
            </w:r>
          </w:p>
        </w:tc>
      </w:tr>
      <w:tr w:rsidRPr="00F210B0" w:rsidR="009A7746" w:rsidTr="00370486" w14:paraId="43ADD821" w14:textId="77777777">
        <w:trPr>
          <w:cantSplit/>
        </w:trPr>
        <w:tc>
          <w:tcPr>
            <w:tcW w:w="0" w:type="auto"/>
            <w:vAlign w:val="center"/>
          </w:tcPr>
          <w:p w:rsidRPr="00F210B0" w:rsidR="009A7746" w:rsidP="00370486" w:rsidRDefault="009A7746" w14:paraId="519947E3" w14:textId="77777777">
            <w:pPr>
              <w:spacing w:beforeAutospacing="1" w:afterAutospacing="1"/>
            </w:pPr>
            <w:r w:rsidRPr="00F210B0">
              <w:rPr>
                <w:color w:val="000000"/>
              </w:rPr>
              <w:t>ECOS</w:t>
            </w:r>
          </w:p>
        </w:tc>
        <w:tc>
          <w:tcPr>
            <w:tcW w:w="0" w:type="auto"/>
            <w:vAlign w:val="center"/>
          </w:tcPr>
          <w:p w:rsidRPr="00F210B0" w:rsidR="009A7746" w:rsidP="00370486" w:rsidRDefault="009A7746" w14:paraId="0067A064" w14:textId="77777777">
            <w:pPr>
              <w:spacing w:beforeAutospacing="1" w:afterAutospacing="1"/>
            </w:pPr>
            <w:r w:rsidRPr="00F210B0">
              <w:rPr>
                <w:color w:val="000000"/>
              </w:rPr>
              <w:t>Chittenden Regional Planning Commission</w:t>
            </w:r>
          </w:p>
        </w:tc>
        <w:tc>
          <w:tcPr>
            <w:tcW w:w="0" w:type="auto"/>
            <w:vAlign w:val="center"/>
          </w:tcPr>
          <w:p w:rsidRPr="00F210B0" w:rsidR="009A7746" w:rsidP="00370486" w:rsidRDefault="009A7746" w14:paraId="2280D666" w14:textId="77777777">
            <w:pPr>
              <w:spacing w:beforeAutospacing="1" w:afterAutospacing="1"/>
            </w:pPr>
            <w:r w:rsidRPr="00F210B0">
              <w:rPr>
                <w:color w:val="000000"/>
              </w:rPr>
              <w:t>There is a coordination with regional transportation and CEDS (Comprehensive Economic Development Strategy) for the City and then the County as a whole.</w:t>
            </w:r>
          </w:p>
        </w:tc>
      </w:tr>
      <w:tr w:rsidRPr="00F210B0" w:rsidR="009A7746" w:rsidTr="00370486" w14:paraId="4F9EC56A" w14:textId="77777777">
        <w:trPr>
          <w:cantSplit/>
        </w:trPr>
        <w:tc>
          <w:tcPr>
            <w:tcW w:w="0" w:type="auto"/>
            <w:vAlign w:val="center"/>
          </w:tcPr>
          <w:p w:rsidRPr="00F210B0" w:rsidR="009A7746" w:rsidP="00370486" w:rsidRDefault="009A7746" w14:paraId="7F494061" w14:textId="77777777">
            <w:pPr>
              <w:spacing w:beforeAutospacing="1" w:afterAutospacing="1"/>
            </w:pPr>
            <w:r w:rsidRPr="00F210B0">
              <w:rPr>
                <w:color w:val="000000"/>
              </w:rPr>
              <w:lastRenderedPageBreak/>
              <w:t>Housing Action Plan</w:t>
            </w:r>
          </w:p>
        </w:tc>
        <w:tc>
          <w:tcPr>
            <w:tcW w:w="0" w:type="auto"/>
            <w:vAlign w:val="center"/>
          </w:tcPr>
          <w:p w:rsidRPr="00F210B0" w:rsidR="009A7746" w:rsidP="00370486" w:rsidRDefault="009A7746" w14:paraId="3837B3A3" w14:textId="77777777">
            <w:pPr>
              <w:spacing w:beforeAutospacing="1" w:afterAutospacing="1"/>
            </w:pPr>
            <w:r w:rsidRPr="00F210B0">
              <w:rPr>
                <w:color w:val="000000"/>
              </w:rPr>
              <w:t>CEDO</w:t>
            </w:r>
          </w:p>
        </w:tc>
        <w:tc>
          <w:tcPr>
            <w:tcW w:w="0" w:type="auto"/>
            <w:vAlign w:val="center"/>
          </w:tcPr>
          <w:p w:rsidRPr="00F210B0" w:rsidR="009A7746" w:rsidP="00370486" w:rsidRDefault="009A7746" w14:paraId="4BF34B5B" w14:textId="77777777">
            <w:pPr>
              <w:spacing w:beforeAutospacing="1" w:afterAutospacing="1"/>
            </w:pPr>
            <w:r w:rsidRPr="00F210B0">
              <w:rPr>
                <w:color w:val="000000"/>
              </w:rPr>
              <w:t>The goals of the Housing Action Plan are incorporated in the strategic plans for affordable housing and addressing the barriers to housing across the economic spectrum.</w:t>
            </w:r>
          </w:p>
        </w:tc>
      </w:tr>
    </w:tbl>
    <w:p w:rsidRPr="00F210B0" w:rsidR="009A7746" w:rsidP="009A7746" w:rsidRDefault="009A7746" w14:paraId="190847CE" w14:textId="4BB9264A">
      <w:pPr>
        <w:pStyle w:val="Caption"/>
        <w:jc w:val="center"/>
        <w:rPr>
          <w:rFonts w:asciiTheme="minorHAnsi" w:hAnsiTheme="minorHAnsi"/>
        </w:rPr>
      </w:pPr>
      <w:r w:rsidRPr="00F210B0">
        <w:rPr>
          <w:rFonts w:asciiTheme="minorHAnsi" w:hAnsiTheme="minorHAnsi"/>
        </w:rPr>
        <w:t xml:space="preserve">Table </w:t>
      </w:r>
      <w:r w:rsidRPr="00F210B0">
        <w:rPr>
          <w:rFonts w:asciiTheme="minorHAnsi" w:hAnsiTheme="minorHAnsi"/>
        </w:rPr>
        <w:fldChar w:fldCharType="begin"/>
      </w:r>
      <w:r w:rsidRPr="00F210B0">
        <w:rPr>
          <w:rFonts w:asciiTheme="minorHAnsi" w:hAnsiTheme="minorHAnsi"/>
        </w:rPr>
        <w:instrText xml:space="preserve"> SEQ Table \* ARABIC </w:instrText>
      </w:r>
      <w:r w:rsidRPr="00F210B0">
        <w:rPr>
          <w:rFonts w:asciiTheme="minorHAnsi" w:hAnsiTheme="minorHAnsi"/>
        </w:rPr>
        <w:fldChar w:fldCharType="separate"/>
      </w:r>
      <w:r w:rsidR="0090766A">
        <w:rPr>
          <w:rFonts w:asciiTheme="minorHAnsi" w:hAnsiTheme="minorHAnsi"/>
          <w:noProof/>
        </w:rPr>
        <w:t>3</w:t>
      </w:r>
      <w:r w:rsidRPr="00F210B0">
        <w:rPr>
          <w:rFonts w:asciiTheme="minorHAnsi" w:hAnsiTheme="minorHAnsi"/>
        </w:rPr>
        <w:fldChar w:fldCharType="end"/>
      </w:r>
      <w:r w:rsidRPr="00F210B0">
        <w:rPr>
          <w:rFonts w:asciiTheme="minorHAnsi" w:hAnsiTheme="minorHAnsi"/>
        </w:rPr>
        <w:t xml:space="preserve"> – Other local / regional / federal planning efforts</w:t>
      </w:r>
    </w:p>
    <w:p w:rsidR="009A7746" w:rsidP="009A7746" w:rsidRDefault="009A7746" w14:paraId="6DB76A92" w14:textId="77777777"/>
    <w:p w:rsidR="009A7746" w:rsidP="009A7746" w:rsidRDefault="009A7746" w14:paraId="308060D8" w14:textId="77777777"/>
    <w:p w:rsidRPr="00F210B0" w:rsidR="009A7746" w:rsidP="009A7746" w:rsidRDefault="009A7746" w14:paraId="48101769" w14:textId="77777777"/>
    <w:p w:rsidRPr="00F210B0" w:rsidR="009A7746" w:rsidP="009A7746" w:rsidRDefault="009A7746" w14:paraId="2C5EE1ED" w14:textId="77777777">
      <w:pPr>
        <w:rPr>
          <w:b/>
          <w:sz w:val="24"/>
          <w:szCs w:val="24"/>
        </w:rPr>
      </w:pPr>
      <w:r w:rsidRPr="00F210B0">
        <w:rPr>
          <w:b/>
          <w:sz w:val="24"/>
          <w:szCs w:val="24"/>
        </w:rPr>
        <w:t>Narrative (optional)</w:t>
      </w:r>
    </w:p>
    <w:p w:rsidRPr="00F210B0" w:rsidR="009A7746" w:rsidP="009A7746" w:rsidRDefault="009A7746" w14:paraId="4F0DFF36" w14:textId="77777777">
      <w:pPr>
        <w:spacing w:beforeAutospacing="1" w:afterAutospacing="1"/>
        <w:rPr>
          <w:rFonts w:cs="Arial"/>
        </w:rPr>
      </w:pPr>
      <w:r w:rsidRPr="00F210B0">
        <w:rPr>
          <w:rFonts w:cs="Arial"/>
        </w:rPr>
        <w:t>Continuum partners include agencies representing health which include the University of Vermont Medical Center and Community Health Centers of Burlington; agencies representing mental health and youth facilities (Howard Center and Spectrum); economic services, temporary assistance and food stamps (AHS – Economic Services). Other divisions within City Government include victim services, lead program, and housing services.  Additionally, the private sector enhances the City's community development and housing efforts. Architects, engineers and attorneys assist nonprofit developers by providing skills and services to implement housing projects. Burlington's banks have responded to a changing market and changing obligations under the federal Community Reinvestment Act by finding a number of innovative ways of support new housing models, housing organizations, and approaches to affordable housing production.  Local lenders also support neighborhood revitalization and small business development, financial education, and free tax preparation services for low-income taxpayers. The Burlington business community has been actively represented on most community advisory committees.  They have provided resources and opportunities for residents to improve their quality of life.</w:t>
      </w:r>
    </w:p>
    <w:p w:rsidR="009A7746" w:rsidP="009A7746" w:rsidRDefault="009A7746" w14:paraId="6704AAB5" w14:textId="77777777"/>
    <w:p w:rsidRPr="00ED22E1" w:rsidR="00777D08" w:rsidRDefault="00777D08" w14:paraId="0FFA2799" w14:textId="77777777">
      <w:pPr>
        <w:rPr>
          <w:rFonts w:cs="Arial"/>
          <w:highlight w:val="lightGray"/>
        </w:rPr>
        <w:sectPr w:rsidRPr="00ED22E1" w:rsidR="00777D08" w:rsidSect="00C33E06">
          <w:headerReference w:type="default" r:id="rId15"/>
          <w:pgSz w:w="12240" w:h="15840" w:orient="portrait"/>
          <w:pgMar w:top="1440" w:right="1440" w:bottom="1440" w:left="1440" w:header="720" w:footer="720" w:gutter="0"/>
          <w:cols w:space="720"/>
          <w:docGrid w:linePitch="360"/>
        </w:sectPr>
      </w:pPr>
    </w:p>
    <w:p w:rsidRPr="007E7A4A" w:rsidR="00777D08" w:rsidRDefault="00211F76" w14:paraId="0ACDC82B" w14:textId="77777777">
      <w:pPr>
        <w:pStyle w:val="Heading2"/>
        <w:keepNext w:val="0"/>
        <w:pageBreakBefore/>
        <w:widowControl w:val="0"/>
        <w:rPr>
          <w:rFonts w:ascii="Calibri" w:hAnsi="Calibri"/>
          <w:i w:val="0"/>
        </w:rPr>
      </w:pPr>
      <w:r w:rsidRPr="007E7A4A">
        <w:rPr>
          <w:rFonts w:ascii="Calibri" w:hAnsi="Calibri"/>
          <w:i w:val="0"/>
        </w:rPr>
        <w:lastRenderedPageBreak/>
        <w:t>AP-12 Participation – 91.105, 91.200(c)</w:t>
      </w:r>
    </w:p>
    <w:p w:rsidRPr="007E7A4A" w:rsidR="00777D08" w:rsidRDefault="00211F76" w14:paraId="1384BF5A" w14:textId="77777777">
      <w:pPr>
        <w:spacing w:after="0" w:line="240" w:lineRule="auto"/>
        <w:rPr>
          <w:b/>
          <w:sz w:val="24"/>
          <w:szCs w:val="24"/>
        </w:rPr>
      </w:pPr>
      <w:r w:rsidRPr="007E7A4A">
        <w:rPr>
          <w:b/>
          <w:sz w:val="24"/>
          <w:szCs w:val="24"/>
        </w:rPr>
        <w:t>1.</w:t>
      </w:r>
      <w:r w:rsidRPr="007E7A4A">
        <w:rPr>
          <w:b/>
          <w:sz w:val="24"/>
          <w:szCs w:val="24"/>
        </w:rPr>
        <w:tab/>
      </w:r>
      <w:r w:rsidRPr="007E7A4A">
        <w:rPr>
          <w:b/>
          <w:sz w:val="24"/>
          <w:szCs w:val="24"/>
        </w:rPr>
        <w:t>Summary of citizen participation process/Efforts made to broaden citizen participation</w:t>
      </w:r>
    </w:p>
    <w:p w:rsidRPr="007E7A4A" w:rsidR="00777D08" w:rsidRDefault="00211F76" w14:paraId="66AD917C" w14:textId="77777777">
      <w:pPr>
        <w:spacing w:after="0" w:line="240" w:lineRule="auto"/>
        <w:rPr>
          <w:b/>
          <w:sz w:val="24"/>
          <w:szCs w:val="24"/>
        </w:rPr>
      </w:pPr>
      <w:r w:rsidRPr="007E7A4A">
        <w:rPr>
          <w:b/>
          <w:sz w:val="24"/>
          <w:szCs w:val="24"/>
        </w:rPr>
        <w:t>Summarize citizen participation process and how it impacted goal-setting</w:t>
      </w:r>
    </w:p>
    <w:p w:rsidRPr="00ED22E1" w:rsidR="00777D08" w:rsidRDefault="00777D08" w14:paraId="2BB32391" w14:textId="77777777">
      <w:pPr>
        <w:spacing w:after="0" w:line="240" w:lineRule="auto"/>
        <w:rPr>
          <w:b/>
          <w:sz w:val="24"/>
          <w:szCs w:val="24"/>
          <w:highlight w:val="lightGray"/>
        </w:rPr>
      </w:pPr>
    </w:p>
    <w:p w:rsidR="00241717" w:rsidP="00241717" w:rsidRDefault="00211F76" w14:paraId="6F294367" w14:textId="77777777">
      <w:pPr>
        <w:spacing w:beforeAutospacing="1" w:afterAutospacing="1"/>
        <w:rPr>
          <w:rFonts w:cs="Arial"/>
          <w:highlight w:val="lightGray"/>
        </w:rPr>
      </w:pPr>
      <w:r w:rsidRPr="00B86FB7">
        <w:rPr>
          <w:rFonts w:cs="Arial"/>
        </w:rPr>
        <w:t>A public hear</w:t>
      </w:r>
      <w:r w:rsidRPr="00B86FB7" w:rsidR="00F210B0">
        <w:rPr>
          <w:rFonts w:cs="Arial"/>
        </w:rPr>
        <w:t xml:space="preserve">ing was held in </w:t>
      </w:r>
      <w:r w:rsidRPr="00B86FB7" w:rsidR="003E550B">
        <w:rPr>
          <w:rFonts w:cs="Arial"/>
        </w:rPr>
        <w:t>December 2020</w:t>
      </w:r>
      <w:r w:rsidRPr="00B86FB7">
        <w:rPr>
          <w:rFonts w:cs="Arial"/>
        </w:rPr>
        <w:t xml:space="preserve"> to review the achievements published in the Consolidated Annual Performance and Evaluation Report (CAPER) and also hear any citizen input on housing and community development needs for the City. A notice about the availability of funds was published online and in Seven D</w:t>
      </w:r>
      <w:r w:rsidRPr="00B86FB7" w:rsidR="00F210B0">
        <w:rPr>
          <w:rFonts w:cs="Arial"/>
        </w:rPr>
        <w:t xml:space="preserve">ays in </w:t>
      </w:r>
      <w:r w:rsidRPr="00B86FB7" w:rsidR="003E550B">
        <w:rPr>
          <w:rFonts w:cs="Arial"/>
        </w:rPr>
        <w:t>the beginning of January</w:t>
      </w:r>
      <w:r w:rsidRPr="00B86FB7" w:rsidR="00F210B0">
        <w:rPr>
          <w:rFonts w:cs="Arial"/>
        </w:rPr>
        <w:t xml:space="preserve"> of 20</w:t>
      </w:r>
      <w:r w:rsidRPr="00B86FB7" w:rsidR="003E550B">
        <w:rPr>
          <w:rFonts w:cs="Arial"/>
        </w:rPr>
        <w:t>21</w:t>
      </w:r>
      <w:r w:rsidRPr="00B86FB7">
        <w:rPr>
          <w:rFonts w:cs="Arial"/>
        </w:rPr>
        <w:t xml:space="preserve"> and a direct email notice provided to over 100 nonprofits, City departments and residents about the funding. An informational workshop was held for applicants. All applications are published online on the City of Burlington's website. The CDBG Advisory Board</w:t>
      </w:r>
      <w:r w:rsidRPr="00B86FB7" w:rsidR="00F210B0">
        <w:rPr>
          <w:rFonts w:cs="Arial"/>
        </w:rPr>
        <w:t xml:space="preserve"> held three meetings in </w:t>
      </w:r>
      <w:r w:rsidRPr="00B86FB7" w:rsidR="00B86FB7">
        <w:rPr>
          <w:rFonts w:cs="Arial"/>
        </w:rPr>
        <w:t>February</w:t>
      </w:r>
      <w:r w:rsidRPr="00B86FB7" w:rsidR="00F210B0">
        <w:rPr>
          <w:rFonts w:cs="Arial"/>
        </w:rPr>
        <w:t xml:space="preserve"> 20</w:t>
      </w:r>
      <w:r w:rsidRPr="00B86FB7" w:rsidR="003E550B">
        <w:rPr>
          <w:rFonts w:cs="Arial"/>
        </w:rPr>
        <w:t>21</w:t>
      </w:r>
      <w:r w:rsidRPr="00B86FB7" w:rsidR="00F210B0">
        <w:rPr>
          <w:rFonts w:cs="Arial"/>
        </w:rPr>
        <w:t xml:space="preserve"> – March 202</w:t>
      </w:r>
      <w:r w:rsidRPr="00B86FB7" w:rsidR="00B86FB7">
        <w:rPr>
          <w:rFonts w:cs="Arial"/>
        </w:rPr>
        <w:t>1</w:t>
      </w:r>
      <w:r w:rsidRPr="00B86FB7">
        <w:rPr>
          <w:rFonts w:cs="Arial"/>
        </w:rPr>
        <w:t xml:space="preserve"> to review all applications; the Board is comprised of representatives from the local Neighborhood Planning Assemblies, Mayoral selections, representatives of state agencies and local grant making agencies. These citizens make the recommendations on how to spend CDBG funds locally, and these recommendations are conveyed to the Mayor and City Council. These recommendations are the foundation for the Action Plan. The recommendations of the Advisory Board are published online along with the draft Action Plan.  </w:t>
      </w:r>
      <w:r w:rsidRPr="003657AB">
        <w:rPr>
          <w:rFonts w:cs="Arial"/>
        </w:rPr>
        <w:t xml:space="preserve">An advertised public hearing was held </w:t>
      </w:r>
      <w:r w:rsidRPr="003657AB" w:rsidR="003C6AFE">
        <w:rPr>
          <w:rFonts w:cs="Arial"/>
        </w:rPr>
        <w:t>on April 26, 2021</w:t>
      </w:r>
      <w:r w:rsidRPr="003657AB">
        <w:rPr>
          <w:rFonts w:cs="Arial"/>
        </w:rPr>
        <w:t xml:space="preserve"> on housing and community development needs in the City, the Advisory Board recommendations, the draft</w:t>
      </w:r>
      <w:r w:rsidRPr="003657AB" w:rsidR="003C6AFE">
        <w:rPr>
          <w:rFonts w:cs="Arial"/>
        </w:rPr>
        <w:t xml:space="preserve"> 2021</w:t>
      </w:r>
      <w:r w:rsidRPr="003657AB">
        <w:rPr>
          <w:rFonts w:cs="Arial"/>
        </w:rPr>
        <w:t xml:space="preserve"> Action Plan</w:t>
      </w:r>
      <w:r w:rsidRPr="003657AB" w:rsidR="005216CA">
        <w:rPr>
          <w:rFonts w:cs="Arial"/>
        </w:rPr>
        <w:t>, and the amended 2020 Action Plan</w:t>
      </w:r>
      <w:r w:rsidRPr="003657AB">
        <w:rPr>
          <w:rFonts w:cs="Arial"/>
        </w:rPr>
        <w:t>. The Plan</w:t>
      </w:r>
      <w:r w:rsidRPr="003657AB" w:rsidR="005216CA">
        <w:rPr>
          <w:rFonts w:cs="Arial"/>
        </w:rPr>
        <w:t>s</w:t>
      </w:r>
      <w:r w:rsidRPr="003657AB">
        <w:rPr>
          <w:rFonts w:cs="Arial"/>
        </w:rPr>
        <w:t xml:space="preserve"> w</w:t>
      </w:r>
      <w:r w:rsidRPr="003657AB" w:rsidR="003C6AFE">
        <w:rPr>
          <w:rFonts w:cs="Arial"/>
        </w:rPr>
        <w:t>ere</w:t>
      </w:r>
      <w:r w:rsidRPr="003657AB">
        <w:rPr>
          <w:rFonts w:cs="Arial"/>
        </w:rPr>
        <w:t xml:space="preserve"> available for public comment for </w:t>
      </w:r>
      <w:r w:rsidRPr="003657AB" w:rsidR="005A0E8C">
        <w:rPr>
          <w:rFonts w:cs="Arial"/>
        </w:rPr>
        <w:t>30</w:t>
      </w:r>
      <w:r w:rsidRPr="003657AB">
        <w:rPr>
          <w:rFonts w:cs="Arial"/>
        </w:rPr>
        <w:t xml:space="preserve"> days with outreach on social media (Facebook and Twitter) and the City of Burlington's website. These numerous efforts were made to broaden citizen participation in the City.</w:t>
      </w:r>
    </w:p>
    <w:p w:rsidRPr="00241717" w:rsidR="00777D08" w:rsidP="00241717" w:rsidRDefault="00211F76" w14:paraId="197A06E0" w14:textId="1800BB97">
      <w:pPr>
        <w:spacing w:beforeAutospacing="1" w:afterAutospacing="1"/>
        <w:rPr>
          <w:rFonts w:cs="Arial"/>
          <w:highlight w:val="lightGray"/>
        </w:rPr>
      </w:pPr>
      <w:r w:rsidRPr="002F1D02">
        <w:rPr>
          <w:b/>
          <w:sz w:val="24"/>
          <w:szCs w:val="24"/>
        </w:rPr>
        <w:t>Citizen Participation Outreach</w:t>
      </w:r>
    </w:p>
    <w:tbl>
      <w:tblPr>
        <w:tblpPr w:leftFromText="180" w:rightFromText="180" w:vertAnchor="text" w:horzAnchor="margin" w:tblpY="29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677"/>
        <w:gridCol w:w="1009"/>
        <w:gridCol w:w="1032"/>
        <w:gridCol w:w="1141"/>
        <w:gridCol w:w="1061"/>
        <w:gridCol w:w="1215"/>
        <w:gridCol w:w="3215"/>
      </w:tblGrid>
      <w:tr w:rsidRPr="002F1D02" w:rsidR="00665350" w:rsidTr="00CC359D" w14:paraId="5A2F4EBE" w14:textId="77777777">
        <w:trPr>
          <w:cantSplit/>
          <w:tblHeader/>
        </w:trPr>
        <w:tc>
          <w:tcPr>
            <w:tcW w:w="417" w:type="pct"/>
            <w:tcBorders>
              <w:top w:val="single" w:color="auto" w:sz="4" w:space="0"/>
              <w:left w:val="single" w:color="auto" w:sz="4" w:space="0"/>
              <w:bottom w:val="single" w:color="auto" w:sz="4" w:space="0"/>
              <w:right w:val="single" w:color="auto" w:sz="4" w:space="0"/>
            </w:tcBorders>
            <w:hideMark/>
          </w:tcPr>
          <w:p w:rsidRPr="002F1D02" w:rsidR="00665350" w:rsidP="00665350" w:rsidRDefault="00665350" w14:paraId="4F979820" w14:textId="77777777">
            <w:pPr>
              <w:keepNext/>
              <w:spacing w:after="0" w:line="240" w:lineRule="auto"/>
              <w:jc w:val="center"/>
              <w:rPr>
                <w:b/>
                <w:bCs/>
              </w:rPr>
            </w:pPr>
            <w:r w:rsidRPr="002F1D02">
              <w:rPr>
                <w:b/>
                <w:bCs/>
              </w:rPr>
              <w:t>Sort Order</w:t>
            </w:r>
          </w:p>
        </w:tc>
        <w:tc>
          <w:tcPr>
            <w:tcW w:w="636" w:type="pct"/>
            <w:tcBorders>
              <w:top w:val="single" w:color="auto" w:sz="4" w:space="0"/>
              <w:left w:val="single" w:color="auto" w:sz="4" w:space="0"/>
              <w:bottom w:val="single" w:color="auto" w:sz="4" w:space="0"/>
              <w:right w:val="single" w:color="auto" w:sz="4" w:space="0"/>
            </w:tcBorders>
            <w:hideMark/>
          </w:tcPr>
          <w:p w:rsidRPr="002F1D02" w:rsidR="00665350" w:rsidP="00665350" w:rsidRDefault="00665350" w14:paraId="05B3F213" w14:textId="77777777">
            <w:pPr>
              <w:keepNext/>
              <w:spacing w:after="0" w:line="240" w:lineRule="auto"/>
              <w:jc w:val="center"/>
              <w:rPr>
                <w:b/>
              </w:rPr>
            </w:pPr>
            <w:r w:rsidRPr="002F1D02">
              <w:rPr>
                <w:b/>
                <w:bCs/>
              </w:rPr>
              <w:t>Mode of Outreach</w:t>
            </w:r>
          </w:p>
        </w:tc>
        <w:tc>
          <w:tcPr>
            <w:tcW w:w="651" w:type="pct"/>
            <w:tcBorders>
              <w:top w:val="single" w:color="auto" w:sz="4" w:space="0"/>
              <w:left w:val="single" w:color="auto" w:sz="4" w:space="0"/>
              <w:bottom w:val="single" w:color="auto" w:sz="4" w:space="0"/>
              <w:right w:val="single" w:color="auto" w:sz="4" w:space="0"/>
            </w:tcBorders>
            <w:hideMark/>
          </w:tcPr>
          <w:p w:rsidRPr="002F1D02" w:rsidR="00665350" w:rsidP="00665350" w:rsidRDefault="00665350" w14:paraId="635A6C56" w14:textId="77777777">
            <w:pPr>
              <w:keepNext/>
              <w:spacing w:after="0" w:line="240" w:lineRule="auto"/>
              <w:jc w:val="center"/>
              <w:rPr>
                <w:b/>
              </w:rPr>
            </w:pPr>
            <w:r w:rsidRPr="002F1D02">
              <w:rPr>
                <w:b/>
                <w:bCs/>
              </w:rPr>
              <w:t>Target of Outreach</w:t>
            </w:r>
          </w:p>
        </w:tc>
        <w:tc>
          <w:tcPr>
            <w:tcW w:w="723" w:type="pct"/>
            <w:tcBorders>
              <w:top w:val="single" w:color="auto" w:sz="4" w:space="0"/>
              <w:left w:val="single" w:color="auto" w:sz="4" w:space="0"/>
              <w:bottom w:val="single" w:color="auto" w:sz="4" w:space="0"/>
              <w:right w:val="single" w:color="auto" w:sz="4" w:space="0"/>
            </w:tcBorders>
            <w:hideMark/>
          </w:tcPr>
          <w:p w:rsidRPr="002F1D02" w:rsidR="00665350" w:rsidP="00665350" w:rsidRDefault="00665350" w14:paraId="1EFB0A3E" w14:textId="77777777">
            <w:pPr>
              <w:keepNext/>
              <w:spacing w:after="0" w:line="240" w:lineRule="auto"/>
              <w:jc w:val="center"/>
              <w:rPr>
                <w:b/>
                <w:bCs/>
              </w:rPr>
            </w:pPr>
            <w:r w:rsidRPr="002F1D02">
              <w:rPr>
                <w:b/>
                <w:bCs/>
              </w:rPr>
              <w:t>Summary of </w:t>
            </w:r>
          </w:p>
          <w:p w:rsidRPr="002F1D02" w:rsidR="00665350" w:rsidP="00665350" w:rsidRDefault="00665350" w14:paraId="1FC4AEB0" w14:textId="77777777">
            <w:pPr>
              <w:keepNext/>
              <w:spacing w:after="0" w:line="240" w:lineRule="auto"/>
              <w:jc w:val="center"/>
              <w:rPr>
                <w:b/>
              </w:rPr>
            </w:pPr>
            <w:r w:rsidRPr="002F1D02">
              <w:rPr>
                <w:b/>
                <w:bCs/>
              </w:rPr>
              <w:t>response/attendance</w:t>
            </w:r>
          </w:p>
        </w:tc>
        <w:tc>
          <w:tcPr>
            <w:tcW w:w="671" w:type="pct"/>
            <w:tcBorders>
              <w:top w:val="single" w:color="auto" w:sz="4" w:space="0"/>
              <w:left w:val="single" w:color="auto" w:sz="4" w:space="0"/>
              <w:bottom w:val="single" w:color="auto" w:sz="4" w:space="0"/>
              <w:right w:val="single" w:color="auto" w:sz="4" w:space="0"/>
            </w:tcBorders>
            <w:hideMark/>
          </w:tcPr>
          <w:p w:rsidRPr="002F1D02" w:rsidR="00665350" w:rsidP="00665350" w:rsidRDefault="00665350" w14:paraId="576E5853" w14:textId="77777777">
            <w:pPr>
              <w:keepNext/>
              <w:spacing w:after="0" w:line="240" w:lineRule="auto"/>
              <w:jc w:val="center"/>
              <w:rPr>
                <w:b/>
                <w:bCs/>
              </w:rPr>
            </w:pPr>
            <w:r w:rsidRPr="002F1D02">
              <w:rPr>
                <w:b/>
                <w:bCs/>
              </w:rPr>
              <w:t>Summary of </w:t>
            </w:r>
          </w:p>
          <w:p w:rsidRPr="002F1D02" w:rsidR="00665350" w:rsidP="00665350" w:rsidRDefault="00665350" w14:paraId="3F3F3F72" w14:textId="77777777">
            <w:pPr>
              <w:keepNext/>
              <w:spacing w:after="0" w:line="240" w:lineRule="auto"/>
              <w:jc w:val="center"/>
              <w:rPr>
                <w:b/>
              </w:rPr>
            </w:pPr>
            <w:r w:rsidRPr="002F1D02">
              <w:rPr>
                <w:b/>
                <w:bCs/>
              </w:rPr>
              <w:t>comments received</w:t>
            </w:r>
          </w:p>
        </w:tc>
        <w:tc>
          <w:tcPr>
            <w:tcW w:w="772" w:type="pct"/>
            <w:tcBorders>
              <w:top w:val="single" w:color="auto" w:sz="4" w:space="0"/>
              <w:left w:val="single" w:color="auto" w:sz="4" w:space="0"/>
              <w:bottom w:val="single" w:color="auto" w:sz="4" w:space="0"/>
              <w:right w:val="single" w:color="auto" w:sz="4" w:space="0"/>
            </w:tcBorders>
            <w:hideMark/>
          </w:tcPr>
          <w:p w:rsidRPr="002F1D02" w:rsidR="00665350" w:rsidP="00665350" w:rsidRDefault="00665350" w14:paraId="7871C357" w14:textId="77777777">
            <w:pPr>
              <w:keepNext/>
              <w:spacing w:after="0" w:line="240" w:lineRule="auto"/>
              <w:jc w:val="center"/>
              <w:rPr>
                <w:b/>
              </w:rPr>
            </w:pPr>
            <w:r w:rsidRPr="002F1D02">
              <w:rPr>
                <w:b/>
                <w:bCs/>
              </w:rPr>
              <w:t>Summary of comments not accepted and reasons</w:t>
            </w:r>
          </w:p>
        </w:tc>
        <w:tc>
          <w:tcPr>
            <w:tcW w:w="1130" w:type="pct"/>
            <w:tcBorders>
              <w:top w:val="single" w:color="auto" w:sz="4" w:space="0"/>
              <w:left w:val="single" w:color="auto" w:sz="4" w:space="0"/>
              <w:bottom w:val="single" w:color="auto" w:sz="4" w:space="0"/>
              <w:right w:val="single" w:color="auto" w:sz="4" w:space="0"/>
            </w:tcBorders>
            <w:hideMark/>
          </w:tcPr>
          <w:p w:rsidRPr="002F1D02" w:rsidR="00665350" w:rsidP="00665350" w:rsidRDefault="00665350" w14:paraId="3F5FD305" w14:textId="77777777">
            <w:pPr>
              <w:keepNext/>
              <w:spacing w:after="0" w:line="240" w:lineRule="auto"/>
              <w:jc w:val="center"/>
              <w:rPr>
                <w:b/>
              </w:rPr>
            </w:pPr>
            <w:r w:rsidRPr="002F1D02">
              <w:rPr>
                <w:b/>
                <w:bCs/>
              </w:rPr>
              <w:t>URL (If applicable)</w:t>
            </w:r>
          </w:p>
        </w:tc>
      </w:tr>
      <w:tr w:rsidRPr="00ED22E1" w:rsidR="00665350" w:rsidTr="00CC359D" w14:paraId="79D9A4E5" w14:textId="77777777">
        <w:trPr>
          <w:cantSplit/>
        </w:trPr>
        <w:tc>
          <w:tcPr>
            <w:tcW w:w="0" w:type="auto"/>
            <w:tcBorders>
              <w:top w:val="single" w:color="auto" w:sz="4" w:space="0"/>
              <w:left w:val="single" w:color="auto" w:sz="4" w:space="0"/>
              <w:bottom w:val="single" w:color="auto" w:sz="4" w:space="0"/>
              <w:right w:val="single" w:color="auto" w:sz="4" w:space="0"/>
            </w:tcBorders>
            <w:vAlign w:val="center"/>
          </w:tcPr>
          <w:p w:rsidRPr="002F1D02" w:rsidR="00665350" w:rsidP="00665350" w:rsidRDefault="00665350" w14:paraId="63ECA663" w14:textId="77777777">
            <w:pPr>
              <w:spacing w:beforeAutospacing="1" w:afterAutospacing="1"/>
            </w:pPr>
            <w:r w:rsidRPr="002F1D02">
              <w:rPr>
                <w:color w:val="000000"/>
              </w:rPr>
              <w:t>1</w:t>
            </w:r>
          </w:p>
        </w:tc>
        <w:tc>
          <w:tcPr>
            <w:tcW w:w="0" w:type="auto"/>
            <w:tcBorders>
              <w:top w:val="single" w:color="auto" w:sz="4" w:space="0"/>
              <w:left w:val="single" w:color="auto" w:sz="4" w:space="0"/>
              <w:bottom w:val="single" w:color="auto" w:sz="4" w:space="0"/>
              <w:right w:val="single" w:color="auto" w:sz="4" w:space="0"/>
            </w:tcBorders>
            <w:vAlign w:val="center"/>
          </w:tcPr>
          <w:p w:rsidRPr="002F1D02" w:rsidR="00665350" w:rsidP="00665350" w:rsidRDefault="00665350" w14:paraId="08B81C3A" w14:textId="77777777">
            <w:pPr>
              <w:spacing w:beforeAutospacing="1" w:afterAutospacing="1"/>
            </w:pPr>
            <w:r w:rsidRPr="002F1D02">
              <w:rPr>
                <w:color w:val="000000"/>
              </w:rPr>
              <w:t>Public Hearing</w:t>
            </w:r>
          </w:p>
        </w:tc>
        <w:tc>
          <w:tcPr>
            <w:tcW w:w="0" w:type="auto"/>
            <w:tcBorders>
              <w:top w:val="single" w:color="auto" w:sz="4" w:space="0"/>
              <w:left w:val="single" w:color="auto" w:sz="4" w:space="0"/>
              <w:bottom w:val="single" w:color="auto" w:sz="4" w:space="0"/>
              <w:right w:val="single" w:color="auto" w:sz="4" w:space="0"/>
            </w:tcBorders>
            <w:vAlign w:val="center"/>
          </w:tcPr>
          <w:p w:rsidRPr="002F1D02" w:rsidR="00665350" w:rsidP="00665350" w:rsidRDefault="00665350" w14:paraId="1A1FA501" w14:textId="77777777">
            <w:pPr>
              <w:spacing w:beforeAutospacing="1" w:afterAutospacing="1"/>
            </w:pPr>
            <w:r w:rsidRPr="002F1D02">
              <w:rPr>
                <w:color w:val="000000"/>
              </w:rPr>
              <w:t>Non-targeted/broad community</w:t>
            </w:r>
          </w:p>
        </w:tc>
        <w:tc>
          <w:tcPr>
            <w:tcW w:w="0" w:type="auto"/>
            <w:tcBorders>
              <w:top w:val="single" w:color="auto" w:sz="4" w:space="0"/>
              <w:left w:val="single" w:color="auto" w:sz="4" w:space="0"/>
              <w:bottom w:val="single" w:color="auto" w:sz="4" w:space="0"/>
              <w:right w:val="single" w:color="auto" w:sz="4" w:space="0"/>
            </w:tcBorders>
            <w:vAlign w:val="center"/>
          </w:tcPr>
          <w:p w:rsidRPr="002F1D02" w:rsidR="00665350" w:rsidP="00665350" w:rsidRDefault="00665350" w14:paraId="4B09D93A" w14:textId="6F9D094E">
            <w:pPr>
              <w:spacing w:beforeAutospacing="1" w:afterAutospacing="1"/>
            </w:pPr>
            <w:r w:rsidRPr="002F1D02">
              <w:rPr>
                <w:color w:val="000000"/>
              </w:rPr>
              <w:t xml:space="preserve">In </w:t>
            </w:r>
            <w:r w:rsidRPr="002F1D02" w:rsidR="006B0FA2">
              <w:rPr>
                <w:color w:val="000000"/>
              </w:rPr>
              <w:t>December</w:t>
            </w:r>
            <w:r w:rsidRPr="002F1D02">
              <w:rPr>
                <w:color w:val="000000"/>
              </w:rPr>
              <w:t xml:space="preserve"> of 20</w:t>
            </w:r>
            <w:r w:rsidRPr="002F1D02" w:rsidR="006B0FA2">
              <w:rPr>
                <w:color w:val="000000"/>
              </w:rPr>
              <w:t>20</w:t>
            </w:r>
            <w:r w:rsidRPr="002F1D02">
              <w:rPr>
                <w:color w:val="000000"/>
              </w:rPr>
              <w:t xml:space="preserve">, the City held a Public Hearing in </w:t>
            </w:r>
            <w:r w:rsidRPr="002F1D02">
              <w:rPr>
                <w:color w:val="000000"/>
              </w:rPr>
              <w:lastRenderedPageBreak/>
              <w:t>conjunction with City Council and received several positive comments regarding the use of CDBG funds and the accomplishments. There were all 12 council members present, the Mayor, the City Attorney, the CAO and approximately 1</w:t>
            </w:r>
            <w:r w:rsidRPr="002F1D02" w:rsidR="002F1D02">
              <w:rPr>
                <w:color w:val="000000"/>
              </w:rPr>
              <w:t xml:space="preserve">4 </w:t>
            </w:r>
            <w:r w:rsidRPr="002F1D02">
              <w:rPr>
                <w:color w:val="000000"/>
              </w:rPr>
              <w:t xml:space="preserve">members of </w:t>
            </w:r>
            <w:r w:rsidRPr="002F1D02" w:rsidR="002F1D02">
              <w:rPr>
                <w:color w:val="000000"/>
              </w:rPr>
              <w:t xml:space="preserve">City staff and </w:t>
            </w:r>
            <w:r w:rsidRPr="002F1D02">
              <w:rPr>
                <w:color w:val="000000"/>
              </w:rPr>
              <w:t xml:space="preserve">the public. The meeting was also broadcast on the </w:t>
            </w:r>
            <w:r w:rsidRPr="002F1D02">
              <w:rPr>
                <w:color w:val="000000"/>
              </w:rPr>
              <w:lastRenderedPageBreak/>
              <w:t>local government channel.</w:t>
            </w:r>
          </w:p>
        </w:tc>
        <w:tc>
          <w:tcPr>
            <w:tcW w:w="671" w:type="pct"/>
            <w:tcBorders>
              <w:top w:val="single" w:color="auto" w:sz="4" w:space="0"/>
              <w:left w:val="single" w:color="auto" w:sz="4" w:space="0"/>
              <w:bottom w:val="single" w:color="auto" w:sz="4" w:space="0"/>
              <w:right w:val="single" w:color="auto" w:sz="4" w:space="0"/>
            </w:tcBorders>
            <w:vAlign w:val="center"/>
          </w:tcPr>
          <w:p w:rsidRPr="002F1D02" w:rsidR="00665350" w:rsidP="00665350" w:rsidRDefault="00665350" w14:paraId="53DF52F2" w14:textId="22B9E30D">
            <w:pPr>
              <w:spacing w:beforeAutospacing="1" w:afterAutospacing="1"/>
            </w:pPr>
            <w:r w:rsidRPr="002F1D02">
              <w:rPr>
                <w:color w:val="000000"/>
              </w:rPr>
              <w:lastRenderedPageBreak/>
              <w:t xml:space="preserve">Council members </w:t>
            </w:r>
            <w:r w:rsidRPr="002F1D02" w:rsidR="002F1D02">
              <w:rPr>
                <w:color w:val="000000"/>
              </w:rPr>
              <w:t xml:space="preserve">asked about challenges and barriers some of </w:t>
            </w:r>
            <w:r w:rsidRPr="002F1D02" w:rsidR="002F1D02">
              <w:rPr>
                <w:color w:val="000000"/>
              </w:rPr>
              <w:lastRenderedPageBreak/>
              <w:t>the programs are facing during this reporting period.  City staff stated that the pandemic has made it difficult for many community partners to carry out certain in- person programs.</w:t>
            </w:r>
            <w:r w:rsidRPr="002F1D02">
              <w:rPr>
                <w:color w:val="000000"/>
              </w:rPr>
              <w:t xml:space="preserve">  </w:t>
            </w:r>
          </w:p>
        </w:tc>
        <w:tc>
          <w:tcPr>
            <w:tcW w:w="772" w:type="pct"/>
            <w:tcBorders>
              <w:top w:val="single" w:color="auto" w:sz="4" w:space="0"/>
              <w:left w:val="single" w:color="auto" w:sz="4" w:space="0"/>
              <w:bottom w:val="single" w:color="auto" w:sz="4" w:space="0"/>
              <w:right w:val="single" w:color="auto" w:sz="4" w:space="0"/>
            </w:tcBorders>
            <w:vAlign w:val="center"/>
          </w:tcPr>
          <w:p w:rsidRPr="002F1D02" w:rsidR="00665350" w:rsidP="00665350" w:rsidRDefault="00665350" w14:paraId="397DF5B1" w14:textId="77777777">
            <w:pPr>
              <w:spacing w:beforeAutospacing="1" w:afterAutospacing="1"/>
            </w:pPr>
            <w:r w:rsidRPr="002F1D02">
              <w:rPr>
                <w:color w:val="000000"/>
              </w:rPr>
              <w:lastRenderedPageBreak/>
              <w:t xml:space="preserve"> </w:t>
            </w:r>
          </w:p>
          <w:p w:rsidRPr="002F1D02" w:rsidR="00665350" w:rsidP="00665350" w:rsidRDefault="00665350" w14:paraId="304750BB" w14:textId="77777777"/>
          <w:p w:rsidRPr="002F1D02" w:rsidR="00665350" w:rsidP="00665350" w:rsidRDefault="005A5CF7" w14:paraId="3AF0F013" w14:textId="074B7879">
            <w:r w:rsidRPr="002F1D02">
              <w:rPr>
                <w:color w:val="000000"/>
              </w:rPr>
              <w:t>Not applicable</w:t>
            </w:r>
          </w:p>
        </w:tc>
        <w:tc>
          <w:tcPr>
            <w:tcW w:w="1130" w:type="pct"/>
            <w:tcBorders>
              <w:top w:val="single" w:color="auto" w:sz="4" w:space="0"/>
              <w:left w:val="single" w:color="auto" w:sz="4" w:space="0"/>
              <w:bottom w:val="single" w:color="auto" w:sz="4" w:space="0"/>
              <w:right w:val="single" w:color="auto" w:sz="4" w:space="0"/>
            </w:tcBorders>
            <w:vAlign w:val="center"/>
          </w:tcPr>
          <w:p w:rsidRPr="002F1D02" w:rsidR="00665350" w:rsidP="00665350" w:rsidRDefault="00665350" w14:paraId="4836D016" w14:textId="77777777">
            <w:pPr>
              <w:spacing w:beforeAutospacing="1" w:afterAutospacing="1"/>
            </w:pPr>
            <w:r w:rsidRPr="002F1D02">
              <w:rPr>
                <w:color w:val="000000"/>
              </w:rPr>
              <w:t xml:space="preserve"> </w:t>
            </w:r>
          </w:p>
        </w:tc>
      </w:tr>
      <w:tr w:rsidRPr="00ED22E1" w:rsidR="00665350" w:rsidTr="00CC359D" w14:paraId="416BF913" w14:textId="77777777">
        <w:trPr>
          <w:cantSplit/>
        </w:trPr>
        <w:tc>
          <w:tcPr>
            <w:tcW w:w="0" w:type="auto"/>
            <w:tcBorders>
              <w:top w:val="single" w:color="auto" w:sz="4" w:space="0"/>
              <w:left w:val="single" w:color="auto" w:sz="4" w:space="0"/>
              <w:bottom w:val="single" w:color="auto" w:sz="4" w:space="0"/>
              <w:right w:val="single" w:color="auto" w:sz="4" w:space="0"/>
            </w:tcBorders>
            <w:vAlign w:val="center"/>
          </w:tcPr>
          <w:p w:rsidRPr="00035311" w:rsidR="00665350" w:rsidP="00665350" w:rsidRDefault="00665350" w14:paraId="2D97DB48" w14:textId="77777777">
            <w:pPr>
              <w:spacing w:beforeAutospacing="1" w:afterAutospacing="1"/>
            </w:pPr>
            <w:r w:rsidRPr="00035311">
              <w:rPr>
                <w:color w:val="000000"/>
              </w:rPr>
              <w:lastRenderedPageBreak/>
              <w:t>2</w:t>
            </w:r>
          </w:p>
        </w:tc>
        <w:tc>
          <w:tcPr>
            <w:tcW w:w="0" w:type="auto"/>
            <w:tcBorders>
              <w:top w:val="single" w:color="auto" w:sz="4" w:space="0"/>
              <w:left w:val="single" w:color="auto" w:sz="4" w:space="0"/>
              <w:bottom w:val="single" w:color="auto" w:sz="4" w:space="0"/>
              <w:right w:val="single" w:color="auto" w:sz="4" w:space="0"/>
            </w:tcBorders>
            <w:vAlign w:val="center"/>
          </w:tcPr>
          <w:p w:rsidRPr="00035311" w:rsidR="00665350" w:rsidP="00665350" w:rsidRDefault="00665350" w14:paraId="35C416D3" w14:textId="77777777">
            <w:pPr>
              <w:spacing w:beforeAutospacing="1" w:afterAutospacing="1"/>
            </w:pPr>
            <w:r w:rsidRPr="00035311">
              <w:rPr>
                <w:color w:val="000000"/>
              </w:rPr>
              <w:t>Newspaper Ad</w:t>
            </w:r>
          </w:p>
        </w:tc>
        <w:tc>
          <w:tcPr>
            <w:tcW w:w="0" w:type="auto"/>
            <w:tcBorders>
              <w:top w:val="single" w:color="auto" w:sz="4" w:space="0"/>
              <w:left w:val="single" w:color="auto" w:sz="4" w:space="0"/>
              <w:bottom w:val="single" w:color="auto" w:sz="4" w:space="0"/>
              <w:right w:val="single" w:color="auto" w:sz="4" w:space="0"/>
            </w:tcBorders>
            <w:vAlign w:val="center"/>
          </w:tcPr>
          <w:p w:rsidRPr="00035311" w:rsidR="00665350" w:rsidP="00665350" w:rsidRDefault="00665350" w14:paraId="3EAC62EF" w14:textId="77777777">
            <w:pPr>
              <w:spacing w:beforeAutospacing="1" w:afterAutospacing="1"/>
            </w:pPr>
            <w:r w:rsidRPr="00035311">
              <w:rPr>
                <w:color w:val="000000"/>
              </w:rPr>
              <w:t>Non-targeted/broad community</w:t>
            </w:r>
          </w:p>
        </w:tc>
        <w:tc>
          <w:tcPr>
            <w:tcW w:w="0" w:type="auto"/>
            <w:tcBorders>
              <w:top w:val="single" w:color="auto" w:sz="4" w:space="0"/>
              <w:left w:val="single" w:color="auto" w:sz="4" w:space="0"/>
              <w:bottom w:val="single" w:color="auto" w:sz="4" w:space="0"/>
              <w:right w:val="single" w:color="auto" w:sz="4" w:space="0"/>
            </w:tcBorders>
            <w:vAlign w:val="center"/>
          </w:tcPr>
          <w:p w:rsidRPr="00035311" w:rsidR="00665350" w:rsidP="00665350" w:rsidRDefault="00665350" w14:paraId="765C5332" w14:textId="45455A14">
            <w:pPr>
              <w:spacing w:beforeAutospacing="1" w:afterAutospacing="1"/>
            </w:pPr>
            <w:r w:rsidRPr="00035311">
              <w:rPr>
                <w:color w:val="000000"/>
              </w:rPr>
              <w:t>Notice of funding availability for the 202</w:t>
            </w:r>
            <w:r w:rsidRPr="00035311" w:rsidR="00D47BA6">
              <w:rPr>
                <w:color w:val="000000"/>
              </w:rPr>
              <w:t>1</w:t>
            </w:r>
            <w:r w:rsidRPr="00035311">
              <w:rPr>
                <w:color w:val="000000"/>
              </w:rPr>
              <w:t xml:space="preserve"> CDBG Action Plan was advertised on </w:t>
            </w:r>
            <w:r w:rsidRPr="00035311" w:rsidR="00035311">
              <w:rPr>
                <w:color w:val="000000"/>
              </w:rPr>
              <w:t>January 13</w:t>
            </w:r>
            <w:r w:rsidRPr="00035311">
              <w:rPr>
                <w:color w:val="000000"/>
              </w:rPr>
              <w:t>, 20</w:t>
            </w:r>
            <w:r w:rsidRPr="00035311" w:rsidR="00035311">
              <w:rPr>
                <w:color w:val="000000"/>
              </w:rPr>
              <w:t>21</w:t>
            </w:r>
            <w:r w:rsidRPr="00035311">
              <w:rPr>
                <w:color w:val="000000"/>
              </w:rPr>
              <w:t xml:space="preserve"> in the Seven Days paper to the general public.</w:t>
            </w:r>
          </w:p>
        </w:tc>
        <w:tc>
          <w:tcPr>
            <w:tcW w:w="671" w:type="pct"/>
            <w:tcBorders>
              <w:top w:val="single" w:color="auto" w:sz="4" w:space="0"/>
              <w:left w:val="single" w:color="auto" w:sz="4" w:space="0"/>
              <w:bottom w:val="single" w:color="auto" w:sz="4" w:space="0"/>
              <w:right w:val="single" w:color="auto" w:sz="4" w:space="0"/>
            </w:tcBorders>
            <w:vAlign w:val="center"/>
          </w:tcPr>
          <w:p w:rsidRPr="00035311" w:rsidR="00665350" w:rsidP="00665350" w:rsidRDefault="00665350" w14:paraId="4EF0A657" w14:textId="77777777">
            <w:pPr>
              <w:spacing w:beforeAutospacing="1" w:afterAutospacing="1"/>
            </w:pPr>
            <w:r w:rsidRPr="00035311">
              <w:rPr>
                <w:color w:val="000000"/>
              </w:rPr>
              <w:t>Not applicable</w:t>
            </w:r>
          </w:p>
        </w:tc>
        <w:tc>
          <w:tcPr>
            <w:tcW w:w="772" w:type="pct"/>
            <w:tcBorders>
              <w:top w:val="single" w:color="auto" w:sz="4" w:space="0"/>
              <w:left w:val="single" w:color="auto" w:sz="4" w:space="0"/>
              <w:bottom w:val="single" w:color="auto" w:sz="4" w:space="0"/>
              <w:right w:val="single" w:color="auto" w:sz="4" w:space="0"/>
            </w:tcBorders>
            <w:vAlign w:val="center"/>
          </w:tcPr>
          <w:p w:rsidRPr="00035311" w:rsidR="00665350" w:rsidP="00665350" w:rsidRDefault="00665350" w14:paraId="012A3725" w14:textId="77777777">
            <w:pPr>
              <w:spacing w:beforeAutospacing="1" w:afterAutospacing="1"/>
            </w:pPr>
            <w:r w:rsidRPr="00035311">
              <w:rPr>
                <w:color w:val="000000"/>
              </w:rPr>
              <w:t>Not applicable</w:t>
            </w:r>
          </w:p>
        </w:tc>
        <w:tc>
          <w:tcPr>
            <w:tcW w:w="1130" w:type="pct"/>
            <w:tcBorders>
              <w:top w:val="single" w:color="auto" w:sz="4" w:space="0"/>
              <w:left w:val="single" w:color="auto" w:sz="4" w:space="0"/>
              <w:bottom w:val="single" w:color="auto" w:sz="4" w:space="0"/>
              <w:right w:val="single" w:color="auto" w:sz="4" w:space="0"/>
            </w:tcBorders>
            <w:vAlign w:val="center"/>
          </w:tcPr>
          <w:p w:rsidRPr="00ED22E1" w:rsidR="00665350" w:rsidP="00665350" w:rsidRDefault="00665350" w14:paraId="4B922A42" w14:textId="77777777">
            <w:pPr>
              <w:spacing w:beforeAutospacing="1" w:afterAutospacing="1"/>
              <w:rPr>
                <w:highlight w:val="lightGray"/>
              </w:rPr>
            </w:pPr>
            <w:r w:rsidRPr="00ED22E1">
              <w:rPr>
                <w:color w:val="000000"/>
                <w:highlight w:val="lightGray"/>
              </w:rPr>
              <w:t xml:space="preserve"> </w:t>
            </w:r>
          </w:p>
        </w:tc>
      </w:tr>
      <w:tr w:rsidRPr="00ED22E1" w:rsidR="00665350" w:rsidTr="00CC359D" w14:paraId="3D2D8E4C" w14:textId="77777777">
        <w:trPr>
          <w:cantSplit/>
        </w:trPr>
        <w:tc>
          <w:tcPr>
            <w:tcW w:w="0" w:type="auto"/>
            <w:tcBorders>
              <w:top w:val="single" w:color="auto" w:sz="4" w:space="0"/>
              <w:left w:val="single" w:color="auto" w:sz="4" w:space="0"/>
              <w:bottom w:val="single" w:color="auto" w:sz="4" w:space="0"/>
              <w:right w:val="single" w:color="auto" w:sz="4" w:space="0"/>
            </w:tcBorders>
            <w:vAlign w:val="center"/>
          </w:tcPr>
          <w:p w:rsidRPr="008F37CB" w:rsidR="00665350" w:rsidP="00665350" w:rsidRDefault="00665350" w14:paraId="663F1DB3" w14:textId="77777777">
            <w:pPr>
              <w:spacing w:beforeAutospacing="1" w:afterAutospacing="1"/>
            </w:pPr>
            <w:r w:rsidRPr="008F37CB">
              <w:rPr>
                <w:color w:val="000000"/>
              </w:rPr>
              <w:t>3</w:t>
            </w:r>
          </w:p>
        </w:tc>
        <w:tc>
          <w:tcPr>
            <w:tcW w:w="0" w:type="auto"/>
            <w:tcBorders>
              <w:top w:val="single" w:color="auto" w:sz="4" w:space="0"/>
              <w:left w:val="single" w:color="auto" w:sz="4" w:space="0"/>
              <w:bottom w:val="single" w:color="auto" w:sz="4" w:space="0"/>
              <w:right w:val="single" w:color="auto" w:sz="4" w:space="0"/>
            </w:tcBorders>
            <w:vAlign w:val="center"/>
          </w:tcPr>
          <w:p w:rsidRPr="008F37CB" w:rsidR="00665350" w:rsidP="00665350" w:rsidRDefault="00665350" w14:paraId="1E634707" w14:textId="77777777">
            <w:pPr>
              <w:spacing w:beforeAutospacing="1" w:afterAutospacing="1"/>
            </w:pPr>
            <w:r w:rsidRPr="008F37CB">
              <w:rPr>
                <w:color w:val="000000"/>
              </w:rPr>
              <w:t>Public Meeting</w:t>
            </w:r>
          </w:p>
        </w:tc>
        <w:tc>
          <w:tcPr>
            <w:tcW w:w="0" w:type="auto"/>
            <w:tcBorders>
              <w:top w:val="single" w:color="auto" w:sz="4" w:space="0"/>
              <w:left w:val="single" w:color="auto" w:sz="4" w:space="0"/>
              <w:bottom w:val="single" w:color="auto" w:sz="4" w:space="0"/>
              <w:right w:val="single" w:color="auto" w:sz="4" w:space="0"/>
            </w:tcBorders>
            <w:vAlign w:val="center"/>
          </w:tcPr>
          <w:p w:rsidRPr="008F37CB" w:rsidR="00665350" w:rsidP="00665350" w:rsidRDefault="00665350" w14:paraId="61A899B4" w14:textId="77777777">
            <w:pPr>
              <w:spacing w:beforeAutospacing="1" w:afterAutospacing="1"/>
            </w:pPr>
            <w:r w:rsidRPr="008F37CB">
              <w:rPr>
                <w:color w:val="000000"/>
              </w:rPr>
              <w:t>Nonprofits &amp; Potential Grantees</w:t>
            </w:r>
          </w:p>
        </w:tc>
        <w:tc>
          <w:tcPr>
            <w:tcW w:w="0" w:type="auto"/>
            <w:tcBorders>
              <w:top w:val="single" w:color="auto" w:sz="4" w:space="0"/>
              <w:left w:val="single" w:color="auto" w:sz="4" w:space="0"/>
              <w:bottom w:val="single" w:color="auto" w:sz="4" w:space="0"/>
              <w:right w:val="single" w:color="auto" w:sz="4" w:space="0"/>
            </w:tcBorders>
            <w:vAlign w:val="center"/>
          </w:tcPr>
          <w:p w:rsidRPr="008F37CB" w:rsidR="00665350" w:rsidP="00665350" w:rsidRDefault="00665350" w14:paraId="1C1D7725" w14:textId="6BB7ECE9">
            <w:pPr>
              <w:spacing w:beforeAutospacing="1" w:afterAutospacing="1"/>
            </w:pPr>
            <w:r w:rsidRPr="008F37CB">
              <w:rPr>
                <w:color w:val="000000"/>
              </w:rPr>
              <w:t xml:space="preserve">One workshop was held for potential grantees </w:t>
            </w:r>
            <w:r w:rsidRPr="008F37CB" w:rsidR="008F37CB">
              <w:rPr>
                <w:color w:val="000000"/>
              </w:rPr>
              <w:t>on January 21</w:t>
            </w:r>
            <w:r w:rsidRPr="008F37CB">
              <w:rPr>
                <w:color w:val="000000"/>
              </w:rPr>
              <w:t>, 20</w:t>
            </w:r>
            <w:r w:rsidRPr="008F37CB" w:rsidR="008F37CB">
              <w:rPr>
                <w:color w:val="000000"/>
              </w:rPr>
              <w:t>21</w:t>
            </w:r>
            <w:r w:rsidRPr="008F37CB">
              <w:rPr>
                <w:color w:val="000000"/>
              </w:rPr>
              <w:t xml:space="preserve"> to offer technical assistance. Approximately </w:t>
            </w:r>
            <w:r w:rsidR="000435C8">
              <w:rPr>
                <w:color w:val="000000"/>
              </w:rPr>
              <w:t>8</w:t>
            </w:r>
            <w:r w:rsidRPr="008F37CB">
              <w:rPr>
                <w:color w:val="000000"/>
              </w:rPr>
              <w:t xml:space="preserve"> people attended </w:t>
            </w:r>
            <w:r w:rsidRPr="008F37CB">
              <w:rPr>
                <w:color w:val="000000"/>
              </w:rPr>
              <w:lastRenderedPageBreak/>
              <w:t>from a variety of nonprofits.</w:t>
            </w:r>
          </w:p>
        </w:tc>
        <w:tc>
          <w:tcPr>
            <w:tcW w:w="671" w:type="pct"/>
            <w:tcBorders>
              <w:top w:val="single" w:color="auto" w:sz="4" w:space="0"/>
              <w:left w:val="single" w:color="auto" w:sz="4" w:space="0"/>
              <w:bottom w:val="single" w:color="auto" w:sz="4" w:space="0"/>
              <w:right w:val="single" w:color="auto" w:sz="4" w:space="0"/>
            </w:tcBorders>
            <w:vAlign w:val="center"/>
          </w:tcPr>
          <w:p w:rsidRPr="008F37CB" w:rsidR="00665350" w:rsidP="00665350" w:rsidRDefault="00665350" w14:paraId="3170775F" w14:textId="77777777">
            <w:pPr>
              <w:spacing w:beforeAutospacing="1" w:afterAutospacing="1"/>
            </w:pPr>
            <w:r w:rsidRPr="008F37CB">
              <w:rPr>
                <w:color w:val="000000"/>
              </w:rPr>
              <w:lastRenderedPageBreak/>
              <w:t>Not applicable</w:t>
            </w:r>
          </w:p>
        </w:tc>
        <w:tc>
          <w:tcPr>
            <w:tcW w:w="772" w:type="pct"/>
            <w:tcBorders>
              <w:top w:val="single" w:color="auto" w:sz="4" w:space="0"/>
              <w:left w:val="single" w:color="auto" w:sz="4" w:space="0"/>
              <w:bottom w:val="single" w:color="auto" w:sz="4" w:space="0"/>
              <w:right w:val="single" w:color="auto" w:sz="4" w:space="0"/>
            </w:tcBorders>
            <w:vAlign w:val="center"/>
          </w:tcPr>
          <w:p w:rsidRPr="008F37CB" w:rsidR="00665350" w:rsidP="00665350" w:rsidRDefault="00665350" w14:paraId="42A04271" w14:textId="77777777">
            <w:pPr>
              <w:spacing w:beforeAutospacing="1" w:afterAutospacing="1"/>
            </w:pPr>
            <w:r w:rsidRPr="008F37CB">
              <w:rPr>
                <w:color w:val="000000"/>
              </w:rPr>
              <w:t>Not applicable</w:t>
            </w:r>
          </w:p>
        </w:tc>
        <w:tc>
          <w:tcPr>
            <w:tcW w:w="1130" w:type="pct"/>
            <w:tcBorders>
              <w:top w:val="single" w:color="auto" w:sz="4" w:space="0"/>
              <w:left w:val="single" w:color="auto" w:sz="4" w:space="0"/>
              <w:bottom w:val="single" w:color="auto" w:sz="4" w:space="0"/>
              <w:right w:val="single" w:color="auto" w:sz="4" w:space="0"/>
            </w:tcBorders>
            <w:vAlign w:val="center"/>
          </w:tcPr>
          <w:p w:rsidRPr="00ED22E1" w:rsidR="00665350" w:rsidP="00665350" w:rsidRDefault="00665350" w14:paraId="1921B51B" w14:textId="77777777">
            <w:pPr>
              <w:spacing w:beforeAutospacing="1" w:afterAutospacing="1"/>
              <w:rPr>
                <w:highlight w:val="lightGray"/>
              </w:rPr>
            </w:pPr>
            <w:r w:rsidRPr="00ED22E1">
              <w:rPr>
                <w:color w:val="000000"/>
                <w:highlight w:val="lightGray"/>
              </w:rPr>
              <w:t xml:space="preserve"> </w:t>
            </w:r>
          </w:p>
        </w:tc>
      </w:tr>
      <w:tr w:rsidRPr="00ED22E1" w:rsidR="00142045" w:rsidTr="00CC359D" w14:paraId="0822E688" w14:textId="77777777">
        <w:trPr>
          <w:cantSplit/>
        </w:trPr>
        <w:tc>
          <w:tcPr>
            <w:tcW w:w="0" w:type="auto"/>
            <w:tcBorders>
              <w:top w:val="single" w:color="auto" w:sz="4" w:space="0"/>
              <w:left w:val="single" w:color="auto" w:sz="4" w:space="0"/>
              <w:bottom w:val="single" w:color="auto" w:sz="4" w:space="0"/>
              <w:right w:val="single" w:color="auto" w:sz="4" w:space="0"/>
            </w:tcBorders>
            <w:vAlign w:val="center"/>
          </w:tcPr>
          <w:p w:rsidRPr="000435C8" w:rsidR="00142045" w:rsidP="00142045" w:rsidRDefault="00142045" w14:paraId="17B8CA03" w14:textId="77777777">
            <w:pPr>
              <w:spacing w:beforeAutospacing="1" w:afterAutospacing="1"/>
            </w:pPr>
            <w:r w:rsidRPr="000435C8">
              <w:rPr>
                <w:color w:val="000000"/>
              </w:rPr>
              <w:t>4</w:t>
            </w:r>
          </w:p>
        </w:tc>
        <w:tc>
          <w:tcPr>
            <w:tcW w:w="0" w:type="auto"/>
            <w:tcBorders>
              <w:top w:val="single" w:color="auto" w:sz="4" w:space="0"/>
              <w:left w:val="single" w:color="auto" w:sz="4" w:space="0"/>
              <w:bottom w:val="single" w:color="auto" w:sz="4" w:space="0"/>
              <w:right w:val="single" w:color="auto" w:sz="4" w:space="0"/>
            </w:tcBorders>
            <w:vAlign w:val="center"/>
          </w:tcPr>
          <w:p w:rsidRPr="000435C8" w:rsidR="00142045" w:rsidP="00142045" w:rsidRDefault="00142045" w14:paraId="272A84BF" w14:textId="77777777">
            <w:pPr>
              <w:spacing w:beforeAutospacing="1" w:afterAutospacing="1"/>
            </w:pPr>
            <w:r w:rsidRPr="000435C8">
              <w:rPr>
                <w:color w:val="000000"/>
              </w:rPr>
              <w:t>Internet Outreach</w:t>
            </w:r>
          </w:p>
        </w:tc>
        <w:tc>
          <w:tcPr>
            <w:tcW w:w="0" w:type="auto"/>
            <w:tcBorders>
              <w:top w:val="single" w:color="auto" w:sz="4" w:space="0"/>
              <w:left w:val="single" w:color="auto" w:sz="4" w:space="0"/>
              <w:bottom w:val="single" w:color="auto" w:sz="4" w:space="0"/>
              <w:right w:val="single" w:color="auto" w:sz="4" w:space="0"/>
            </w:tcBorders>
            <w:vAlign w:val="center"/>
          </w:tcPr>
          <w:p w:rsidRPr="000435C8" w:rsidR="00142045" w:rsidP="00142045" w:rsidRDefault="00142045" w14:paraId="25335AF2" w14:textId="77777777">
            <w:pPr>
              <w:spacing w:beforeAutospacing="1" w:afterAutospacing="1"/>
            </w:pPr>
            <w:r w:rsidRPr="000435C8">
              <w:rPr>
                <w:color w:val="000000"/>
              </w:rPr>
              <w:t>Non-targeted/broad community</w:t>
            </w:r>
          </w:p>
        </w:tc>
        <w:tc>
          <w:tcPr>
            <w:tcW w:w="0" w:type="auto"/>
            <w:tcBorders>
              <w:top w:val="single" w:color="auto" w:sz="4" w:space="0"/>
              <w:left w:val="single" w:color="auto" w:sz="4" w:space="0"/>
              <w:bottom w:val="single" w:color="auto" w:sz="4" w:space="0"/>
              <w:right w:val="single" w:color="auto" w:sz="4" w:space="0"/>
            </w:tcBorders>
            <w:vAlign w:val="center"/>
          </w:tcPr>
          <w:p w:rsidRPr="000435C8" w:rsidR="00142045" w:rsidP="00142045" w:rsidRDefault="00142045" w14:paraId="3E34BB4C" w14:textId="77777777">
            <w:pPr>
              <w:spacing w:beforeAutospacing="1" w:afterAutospacing="1"/>
            </w:pPr>
            <w:r w:rsidRPr="000435C8">
              <w:rPr>
                <w:color w:val="000000"/>
              </w:rPr>
              <w:t>The applications for CDBG funding were placed on the CEDO/City of Burlington website. The applications remain available for view online.</w:t>
            </w:r>
          </w:p>
        </w:tc>
        <w:tc>
          <w:tcPr>
            <w:tcW w:w="671" w:type="pct"/>
            <w:tcBorders>
              <w:top w:val="single" w:color="auto" w:sz="4" w:space="0"/>
              <w:left w:val="single" w:color="auto" w:sz="4" w:space="0"/>
              <w:bottom w:val="single" w:color="auto" w:sz="4" w:space="0"/>
              <w:right w:val="single" w:color="auto" w:sz="4" w:space="0"/>
            </w:tcBorders>
            <w:vAlign w:val="center"/>
          </w:tcPr>
          <w:p w:rsidRPr="000435C8" w:rsidR="00142045" w:rsidP="00142045" w:rsidRDefault="00142045" w14:paraId="08023418" w14:textId="7C54F784">
            <w:pPr>
              <w:spacing w:beforeAutospacing="1" w:afterAutospacing="1"/>
            </w:pPr>
            <w:r w:rsidRPr="000435C8">
              <w:rPr>
                <w:color w:val="000000"/>
              </w:rPr>
              <w:t>No comments received</w:t>
            </w:r>
          </w:p>
        </w:tc>
        <w:tc>
          <w:tcPr>
            <w:tcW w:w="772" w:type="pct"/>
            <w:tcBorders>
              <w:top w:val="single" w:color="auto" w:sz="4" w:space="0"/>
              <w:left w:val="single" w:color="auto" w:sz="4" w:space="0"/>
              <w:bottom w:val="single" w:color="auto" w:sz="4" w:space="0"/>
              <w:right w:val="single" w:color="auto" w:sz="4" w:space="0"/>
            </w:tcBorders>
            <w:vAlign w:val="center"/>
          </w:tcPr>
          <w:p w:rsidRPr="000435C8" w:rsidR="00142045" w:rsidP="00142045" w:rsidRDefault="00142045" w14:paraId="57953C42" w14:textId="372FB0B6">
            <w:pPr>
              <w:spacing w:beforeAutospacing="1" w:afterAutospacing="1"/>
            </w:pPr>
            <w:r w:rsidRPr="000435C8">
              <w:rPr>
                <w:color w:val="000000"/>
              </w:rPr>
              <w:t>No comments received</w:t>
            </w:r>
          </w:p>
        </w:tc>
        <w:tc>
          <w:tcPr>
            <w:tcW w:w="1130" w:type="pct"/>
            <w:tcBorders>
              <w:top w:val="single" w:color="auto" w:sz="4" w:space="0"/>
              <w:left w:val="single" w:color="auto" w:sz="4" w:space="0"/>
              <w:bottom w:val="single" w:color="auto" w:sz="4" w:space="0"/>
              <w:right w:val="single" w:color="auto" w:sz="4" w:space="0"/>
            </w:tcBorders>
            <w:vAlign w:val="center"/>
          </w:tcPr>
          <w:p w:rsidRPr="000435C8" w:rsidR="00142045" w:rsidP="00142045" w:rsidRDefault="00A4391D" w14:paraId="13358B04" w14:textId="0683CA32">
            <w:pPr>
              <w:spacing w:beforeAutospacing="1" w:afterAutospacing="1"/>
            </w:pPr>
            <w:hyperlink w:history="1" r:id="rId16">
              <w:r w:rsidRPr="00E104D6" w:rsidR="00E104D6">
                <w:rPr>
                  <w:rStyle w:val="Hyperlink"/>
                </w:rPr>
                <w:t>https://www.burlingtonvt.gov/CEDO</w:t>
              </w:r>
            </w:hyperlink>
          </w:p>
        </w:tc>
      </w:tr>
      <w:tr w:rsidRPr="00ED22E1" w:rsidR="00142045" w:rsidTr="00CC359D" w14:paraId="6F271FBC" w14:textId="77777777">
        <w:trPr>
          <w:cantSplit/>
        </w:trPr>
        <w:tc>
          <w:tcPr>
            <w:tcW w:w="0" w:type="auto"/>
            <w:tcBorders>
              <w:top w:val="single" w:color="auto" w:sz="4" w:space="0"/>
              <w:left w:val="single" w:color="auto" w:sz="4" w:space="0"/>
              <w:bottom w:val="single" w:color="auto" w:sz="4" w:space="0"/>
              <w:right w:val="single" w:color="auto" w:sz="4" w:space="0"/>
            </w:tcBorders>
            <w:vAlign w:val="center"/>
          </w:tcPr>
          <w:p w:rsidRPr="00B967DB" w:rsidR="00142045" w:rsidP="00142045" w:rsidRDefault="00142045" w14:paraId="3DF2AD39" w14:textId="77777777">
            <w:pPr>
              <w:spacing w:beforeAutospacing="1" w:afterAutospacing="1"/>
            </w:pPr>
            <w:r w:rsidRPr="00B967DB">
              <w:rPr>
                <w:color w:val="000000"/>
              </w:rPr>
              <w:t>5</w:t>
            </w:r>
          </w:p>
        </w:tc>
        <w:tc>
          <w:tcPr>
            <w:tcW w:w="0" w:type="auto"/>
            <w:tcBorders>
              <w:top w:val="single" w:color="auto" w:sz="4" w:space="0"/>
              <w:left w:val="single" w:color="auto" w:sz="4" w:space="0"/>
              <w:bottom w:val="single" w:color="auto" w:sz="4" w:space="0"/>
              <w:right w:val="single" w:color="auto" w:sz="4" w:space="0"/>
            </w:tcBorders>
            <w:vAlign w:val="center"/>
          </w:tcPr>
          <w:p w:rsidRPr="00B967DB" w:rsidR="00142045" w:rsidP="00142045" w:rsidRDefault="00142045" w14:paraId="21EC37EE" w14:textId="77777777">
            <w:pPr>
              <w:spacing w:beforeAutospacing="1" w:afterAutospacing="1"/>
            </w:pPr>
            <w:r w:rsidRPr="00B967DB">
              <w:rPr>
                <w:color w:val="000000"/>
              </w:rPr>
              <w:t>Newspaper Ad</w:t>
            </w:r>
          </w:p>
        </w:tc>
        <w:tc>
          <w:tcPr>
            <w:tcW w:w="0" w:type="auto"/>
            <w:tcBorders>
              <w:top w:val="single" w:color="auto" w:sz="4" w:space="0"/>
              <w:left w:val="single" w:color="auto" w:sz="4" w:space="0"/>
              <w:bottom w:val="single" w:color="auto" w:sz="4" w:space="0"/>
              <w:right w:val="single" w:color="auto" w:sz="4" w:space="0"/>
            </w:tcBorders>
            <w:vAlign w:val="center"/>
          </w:tcPr>
          <w:p w:rsidRPr="00B967DB" w:rsidR="00142045" w:rsidP="00142045" w:rsidRDefault="00142045" w14:paraId="7E2A5F3A" w14:textId="77777777">
            <w:pPr>
              <w:spacing w:beforeAutospacing="1" w:afterAutospacing="1"/>
            </w:pPr>
            <w:r w:rsidRPr="00B967DB">
              <w:rPr>
                <w:color w:val="000000"/>
              </w:rPr>
              <w:t>Non-targeted/broad community</w:t>
            </w:r>
          </w:p>
        </w:tc>
        <w:tc>
          <w:tcPr>
            <w:tcW w:w="0" w:type="auto"/>
            <w:tcBorders>
              <w:top w:val="single" w:color="auto" w:sz="4" w:space="0"/>
              <w:left w:val="single" w:color="auto" w:sz="4" w:space="0"/>
              <w:bottom w:val="single" w:color="auto" w:sz="4" w:space="0"/>
              <w:right w:val="single" w:color="auto" w:sz="4" w:space="0"/>
            </w:tcBorders>
            <w:vAlign w:val="center"/>
          </w:tcPr>
          <w:p w:rsidRPr="00B967DB" w:rsidR="00B967DB" w:rsidP="00B967DB" w:rsidRDefault="00B967DB" w14:paraId="6D323FB0" w14:textId="65A06116">
            <w:pPr>
              <w:spacing w:beforeAutospacing="1" w:afterAutospacing="1"/>
              <w:rPr>
                <w:color w:val="000000"/>
              </w:rPr>
            </w:pPr>
            <w:r w:rsidRPr="00B967DB">
              <w:rPr>
                <w:color w:val="000000"/>
              </w:rPr>
              <w:t xml:space="preserve">An ad was placed in Seven Days newspaper on </w:t>
            </w:r>
            <w:r>
              <w:rPr>
                <w:color w:val="000000"/>
              </w:rPr>
              <w:t>April</w:t>
            </w:r>
            <w:r w:rsidRPr="00B967DB">
              <w:rPr>
                <w:color w:val="000000"/>
              </w:rPr>
              <w:t xml:space="preserve"> 1</w:t>
            </w:r>
            <w:r>
              <w:rPr>
                <w:color w:val="000000"/>
              </w:rPr>
              <w:t>4</w:t>
            </w:r>
            <w:r w:rsidRPr="00B967DB">
              <w:rPr>
                <w:color w:val="000000"/>
              </w:rPr>
              <w:t xml:space="preserve">th as a legal notice for the public meeting on </w:t>
            </w:r>
            <w:r>
              <w:rPr>
                <w:color w:val="000000"/>
              </w:rPr>
              <w:t>April 26th</w:t>
            </w:r>
            <w:r w:rsidRPr="00B967DB">
              <w:rPr>
                <w:color w:val="000000"/>
              </w:rPr>
              <w:t xml:space="preserve"> </w:t>
            </w:r>
            <w:r>
              <w:rPr>
                <w:color w:val="000000"/>
              </w:rPr>
              <w:t>for</w:t>
            </w:r>
            <w:r w:rsidRPr="00B967DB">
              <w:rPr>
                <w:color w:val="000000"/>
              </w:rPr>
              <w:t xml:space="preserve"> the public comment period for </w:t>
            </w:r>
            <w:r w:rsidRPr="00B967DB">
              <w:rPr>
                <w:color w:val="000000"/>
              </w:rPr>
              <w:lastRenderedPageBreak/>
              <w:t>the 202</w:t>
            </w:r>
            <w:r>
              <w:rPr>
                <w:color w:val="000000"/>
              </w:rPr>
              <w:t xml:space="preserve">1 </w:t>
            </w:r>
            <w:r w:rsidRPr="00B967DB">
              <w:rPr>
                <w:color w:val="000000"/>
              </w:rPr>
              <w:t>Action Plan</w:t>
            </w:r>
            <w:r>
              <w:rPr>
                <w:color w:val="000000"/>
              </w:rPr>
              <w:t xml:space="preserve"> and 2020 Amended Action Plan</w:t>
            </w:r>
            <w:r w:rsidRPr="00B967DB">
              <w:rPr>
                <w:color w:val="000000"/>
              </w:rPr>
              <w:t>.</w:t>
            </w:r>
            <w:r>
              <w:rPr>
                <w:color w:val="000000"/>
              </w:rPr>
              <w:t xml:space="preserve"> </w:t>
            </w:r>
          </w:p>
          <w:p w:rsidRPr="00B967DB" w:rsidR="00142045" w:rsidP="00142045" w:rsidRDefault="00142045" w14:paraId="3A9435FF" w14:textId="3EE494A3">
            <w:pPr>
              <w:spacing w:beforeAutospacing="1" w:afterAutospacing="1"/>
            </w:pPr>
          </w:p>
        </w:tc>
        <w:tc>
          <w:tcPr>
            <w:tcW w:w="671" w:type="pct"/>
            <w:tcBorders>
              <w:top w:val="single" w:color="auto" w:sz="4" w:space="0"/>
              <w:left w:val="single" w:color="auto" w:sz="4" w:space="0"/>
              <w:bottom w:val="single" w:color="auto" w:sz="4" w:space="0"/>
              <w:right w:val="single" w:color="auto" w:sz="4" w:space="0"/>
            </w:tcBorders>
            <w:vAlign w:val="center"/>
          </w:tcPr>
          <w:p w:rsidRPr="00B967DB" w:rsidR="00142045" w:rsidP="00142045" w:rsidRDefault="00142045" w14:paraId="62E85046" w14:textId="77777777">
            <w:pPr>
              <w:spacing w:beforeAutospacing="1" w:afterAutospacing="1"/>
            </w:pPr>
            <w:r w:rsidRPr="00B967DB">
              <w:rPr>
                <w:color w:val="000000"/>
              </w:rPr>
              <w:lastRenderedPageBreak/>
              <w:t>See below</w:t>
            </w:r>
          </w:p>
        </w:tc>
        <w:tc>
          <w:tcPr>
            <w:tcW w:w="772" w:type="pct"/>
            <w:tcBorders>
              <w:top w:val="single" w:color="auto" w:sz="4" w:space="0"/>
              <w:left w:val="single" w:color="auto" w:sz="4" w:space="0"/>
              <w:bottom w:val="single" w:color="auto" w:sz="4" w:space="0"/>
              <w:right w:val="single" w:color="auto" w:sz="4" w:space="0"/>
            </w:tcBorders>
            <w:vAlign w:val="center"/>
          </w:tcPr>
          <w:p w:rsidRPr="00B967DB" w:rsidR="00142045" w:rsidP="00142045" w:rsidRDefault="00142045" w14:paraId="055C8911" w14:textId="77777777">
            <w:pPr>
              <w:spacing w:beforeAutospacing="1" w:afterAutospacing="1"/>
            </w:pPr>
            <w:r w:rsidRPr="00B967DB">
              <w:rPr>
                <w:color w:val="000000"/>
              </w:rPr>
              <w:t xml:space="preserve"> See below</w:t>
            </w:r>
          </w:p>
        </w:tc>
        <w:tc>
          <w:tcPr>
            <w:tcW w:w="1130" w:type="pct"/>
            <w:tcBorders>
              <w:top w:val="single" w:color="auto" w:sz="4" w:space="0"/>
              <w:left w:val="single" w:color="auto" w:sz="4" w:space="0"/>
              <w:bottom w:val="single" w:color="auto" w:sz="4" w:space="0"/>
              <w:right w:val="single" w:color="auto" w:sz="4" w:space="0"/>
            </w:tcBorders>
            <w:vAlign w:val="center"/>
          </w:tcPr>
          <w:p w:rsidRPr="00ED22E1" w:rsidR="00142045" w:rsidP="00142045" w:rsidRDefault="00142045" w14:paraId="4A02F969" w14:textId="77777777">
            <w:pPr>
              <w:spacing w:beforeAutospacing="1" w:afterAutospacing="1"/>
              <w:rPr>
                <w:highlight w:val="lightGray"/>
              </w:rPr>
            </w:pPr>
            <w:r w:rsidRPr="00ED22E1">
              <w:rPr>
                <w:color w:val="000000"/>
                <w:highlight w:val="lightGray"/>
              </w:rPr>
              <w:t xml:space="preserve"> </w:t>
            </w:r>
          </w:p>
        </w:tc>
      </w:tr>
      <w:tr w:rsidRPr="00ED22E1" w:rsidR="00142045" w:rsidTr="00CC359D" w14:paraId="775F0356" w14:textId="77777777">
        <w:trPr>
          <w:cantSplit/>
        </w:trPr>
        <w:tc>
          <w:tcPr>
            <w:tcW w:w="0" w:type="auto"/>
            <w:tcBorders>
              <w:top w:val="single" w:color="auto" w:sz="4" w:space="0"/>
              <w:left w:val="single" w:color="auto" w:sz="4" w:space="0"/>
              <w:bottom w:val="single" w:color="auto" w:sz="4" w:space="0"/>
              <w:right w:val="single" w:color="auto" w:sz="4" w:space="0"/>
            </w:tcBorders>
            <w:vAlign w:val="center"/>
          </w:tcPr>
          <w:p w:rsidRPr="00E104D6" w:rsidR="00142045" w:rsidP="00142045" w:rsidRDefault="00142045" w14:paraId="4AF97365" w14:textId="77777777">
            <w:pPr>
              <w:spacing w:beforeAutospacing="1" w:afterAutospacing="1"/>
            </w:pPr>
            <w:r w:rsidRPr="00E104D6">
              <w:rPr>
                <w:color w:val="000000"/>
              </w:rPr>
              <w:t>6</w:t>
            </w:r>
          </w:p>
        </w:tc>
        <w:tc>
          <w:tcPr>
            <w:tcW w:w="0" w:type="auto"/>
            <w:tcBorders>
              <w:top w:val="single" w:color="auto" w:sz="4" w:space="0"/>
              <w:left w:val="single" w:color="auto" w:sz="4" w:space="0"/>
              <w:bottom w:val="single" w:color="auto" w:sz="4" w:space="0"/>
              <w:right w:val="single" w:color="auto" w:sz="4" w:space="0"/>
            </w:tcBorders>
            <w:vAlign w:val="center"/>
          </w:tcPr>
          <w:p w:rsidRPr="00E104D6" w:rsidR="00142045" w:rsidP="00142045" w:rsidRDefault="00142045" w14:paraId="5ECCCC85" w14:textId="77777777">
            <w:pPr>
              <w:spacing w:beforeAutospacing="1" w:afterAutospacing="1"/>
            </w:pPr>
            <w:r w:rsidRPr="00E104D6">
              <w:rPr>
                <w:color w:val="000000"/>
              </w:rPr>
              <w:t>Internet Outreach</w:t>
            </w:r>
          </w:p>
        </w:tc>
        <w:tc>
          <w:tcPr>
            <w:tcW w:w="0" w:type="auto"/>
            <w:tcBorders>
              <w:top w:val="single" w:color="auto" w:sz="4" w:space="0"/>
              <w:left w:val="single" w:color="auto" w:sz="4" w:space="0"/>
              <w:bottom w:val="single" w:color="auto" w:sz="4" w:space="0"/>
              <w:right w:val="single" w:color="auto" w:sz="4" w:space="0"/>
            </w:tcBorders>
            <w:vAlign w:val="center"/>
          </w:tcPr>
          <w:p w:rsidRPr="00E104D6" w:rsidR="00142045" w:rsidP="00142045" w:rsidRDefault="00142045" w14:paraId="71CEFA8E" w14:textId="77777777">
            <w:pPr>
              <w:spacing w:beforeAutospacing="1" w:afterAutospacing="1"/>
            </w:pPr>
            <w:r w:rsidRPr="00E104D6">
              <w:rPr>
                <w:color w:val="000000"/>
              </w:rPr>
              <w:t>Non-targeted/broad community</w:t>
            </w:r>
          </w:p>
        </w:tc>
        <w:tc>
          <w:tcPr>
            <w:tcW w:w="0" w:type="auto"/>
            <w:tcBorders>
              <w:top w:val="single" w:color="auto" w:sz="4" w:space="0"/>
              <w:left w:val="single" w:color="auto" w:sz="4" w:space="0"/>
              <w:bottom w:val="single" w:color="auto" w:sz="4" w:space="0"/>
              <w:right w:val="single" w:color="auto" w:sz="4" w:space="0"/>
            </w:tcBorders>
            <w:vAlign w:val="center"/>
          </w:tcPr>
          <w:p w:rsidRPr="00E104D6" w:rsidR="00142045" w:rsidP="00142045" w:rsidRDefault="00142045" w14:paraId="2C6F1D89" w14:textId="16FBC76A">
            <w:pPr>
              <w:spacing w:beforeAutospacing="1" w:afterAutospacing="1"/>
            </w:pPr>
            <w:r w:rsidRPr="00E104D6">
              <w:rPr>
                <w:color w:val="000000"/>
              </w:rPr>
              <w:t>The 202</w:t>
            </w:r>
            <w:r w:rsidRPr="00E104D6" w:rsidR="00E104D6">
              <w:rPr>
                <w:color w:val="000000"/>
              </w:rPr>
              <w:t>1</w:t>
            </w:r>
            <w:r w:rsidRPr="00E104D6">
              <w:rPr>
                <w:color w:val="000000"/>
              </w:rPr>
              <w:t xml:space="preserve"> Action Plan was published online on the CEDO/City of Burlington website during the public comment period. Over 100 individuals and nonprofits, in addition to the CoC, received an email link to the Plan.</w:t>
            </w:r>
          </w:p>
        </w:tc>
        <w:tc>
          <w:tcPr>
            <w:tcW w:w="671" w:type="pct"/>
            <w:tcBorders>
              <w:top w:val="single" w:color="auto" w:sz="4" w:space="0"/>
              <w:left w:val="single" w:color="auto" w:sz="4" w:space="0"/>
              <w:bottom w:val="single" w:color="auto" w:sz="4" w:space="0"/>
              <w:right w:val="single" w:color="auto" w:sz="4" w:space="0"/>
            </w:tcBorders>
            <w:vAlign w:val="center"/>
          </w:tcPr>
          <w:p w:rsidRPr="00ED22E1" w:rsidR="00142045" w:rsidP="00142045" w:rsidRDefault="00142045" w14:paraId="3DCCE5AA" w14:textId="49A434D7">
            <w:pPr>
              <w:spacing w:beforeAutospacing="1" w:afterAutospacing="1"/>
              <w:rPr>
                <w:highlight w:val="lightGray"/>
              </w:rPr>
            </w:pPr>
          </w:p>
        </w:tc>
        <w:tc>
          <w:tcPr>
            <w:tcW w:w="772" w:type="pct"/>
            <w:tcBorders>
              <w:top w:val="single" w:color="auto" w:sz="4" w:space="0"/>
              <w:left w:val="single" w:color="auto" w:sz="4" w:space="0"/>
              <w:bottom w:val="single" w:color="auto" w:sz="4" w:space="0"/>
              <w:right w:val="single" w:color="auto" w:sz="4" w:space="0"/>
            </w:tcBorders>
            <w:vAlign w:val="center"/>
          </w:tcPr>
          <w:p w:rsidRPr="00ED22E1" w:rsidR="00142045" w:rsidP="00142045" w:rsidRDefault="00142045" w14:paraId="78937CE0" w14:textId="72B1EB2B">
            <w:pPr>
              <w:spacing w:beforeAutospacing="1" w:afterAutospacing="1"/>
              <w:rPr>
                <w:highlight w:val="lightGray"/>
              </w:rPr>
            </w:pPr>
          </w:p>
        </w:tc>
        <w:tc>
          <w:tcPr>
            <w:tcW w:w="1130" w:type="pct"/>
            <w:tcBorders>
              <w:top w:val="single" w:color="auto" w:sz="4" w:space="0"/>
              <w:left w:val="single" w:color="auto" w:sz="4" w:space="0"/>
              <w:bottom w:val="single" w:color="auto" w:sz="4" w:space="0"/>
              <w:right w:val="single" w:color="auto" w:sz="4" w:space="0"/>
            </w:tcBorders>
            <w:vAlign w:val="center"/>
          </w:tcPr>
          <w:p w:rsidRPr="00ED22E1" w:rsidR="00142045" w:rsidP="00142045" w:rsidRDefault="00A4391D" w14:paraId="4D2AA093" w14:textId="58889D96">
            <w:pPr>
              <w:spacing w:beforeAutospacing="1" w:afterAutospacing="1"/>
              <w:rPr>
                <w:highlight w:val="lightGray"/>
              </w:rPr>
            </w:pPr>
            <w:hyperlink w:history="1" r:id="rId17">
              <w:r w:rsidRPr="00CC359D" w:rsidR="00CC359D">
                <w:rPr>
                  <w:rStyle w:val="Hyperlink"/>
                </w:rPr>
                <w:t>https://www.burlingtonvt.gov/CEDO</w:t>
              </w:r>
            </w:hyperlink>
          </w:p>
        </w:tc>
      </w:tr>
      <w:tr w:rsidRPr="00ED22E1" w:rsidR="00CC359D" w:rsidTr="00CC359D" w14:paraId="3AB77F11" w14:textId="77777777">
        <w:trPr>
          <w:cantSplit/>
        </w:trPr>
        <w:tc>
          <w:tcPr>
            <w:tcW w:w="0" w:type="auto"/>
            <w:tcBorders>
              <w:top w:val="single" w:color="auto" w:sz="4" w:space="0"/>
              <w:left w:val="single" w:color="auto" w:sz="4" w:space="0"/>
              <w:bottom w:val="single" w:color="auto" w:sz="4" w:space="0"/>
              <w:right w:val="single" w:color="auto" w:sz="4" w:space="0"/>
            </w:tcBorders>
            <w:vAlign w:val="center"/>
          </w:tcPr>
          <w:p w:rsidRPr="000E4B8A" w:rsidR="00CC359D" w:rsidP="00CC359D" w:rsidRDefault="00CC359D" w14:paraId="130FF594" w14:textId="77777777">
            <w:pPr>
              <w:spacing w:beforeAutospacing="1" w:afterAutospacing="1"/>
            </w:pPr>
            <w:r w:rsidRPr="000E4B8A">
              <w:rPr>
                <w:color w:val="000000"/>
              </w:rPr>
              <w:t>7</w:t>
            </w:r>
          </w:p>
        </w:tc>
        <w:tc>
          <w:tcPr>
            <w:tcW w:w="0" w:type="auto"/>
            <w:tcBorders>
              <w:top w:val="single" w:color="auto" w:sz="4" w:space="0"/>
              <w:left w:val="single" w:color="auto" w:sz="4" w:space="0"/>
              <w:bottom w:val="single" w:color="auto" w:sz="4" w:space="0"/>
              <w:right w:val="single" w:color="auto" w:sz="4" w:space="0"/>
            </w:tcBorders>
            <w:vAlign w:val="center"/>
          </w:tcPr>
          <w:p w:rsidRPr="000E4B8A" w:rsidR="00CC359D" w:rsidP="00CC359D" w:rsidRDefault="00CC359D" w14:paraId="664CE1A4" w14:textId="77777777">
            <w:pPr>
              <w:spacing w:beforeAutospacing="1" w:afterAutospacing="1"/>
            </w:pPr>
            <w:r w:rsidRPr="000E4B8A">
              <w:rPr>
                <w:color w:val="000000"/>
              </w:rPr>
              <w:t>Public Hearing</w:t>
            </w:r>
          </w:p>
        </w:tc>
        <w:tc>
          <w:tcPr>
            <w:tcW w:w="0" w:type="auto"/>
            <w:tcBorders>
              <w:top w:val="single" w:color="auto" w:sz="4" w:space="0"/>
              <w:left w:val="single" w:color="auto" w:sz="4" w:space="0"/>
              <w:bottom w:val="single" w:color="auto" w:sz="4" w:space="0"/>
              <w:right w:val="single" w:color="auto" w:sz="4" w:space="0"/>
            </w:tcBorders>
            <w:vAlign w:val="center"/>
          </w:tcPr>
          <w:p w:rsidRPr="000E4B8A" w:rsidR="00CC359D" w:rsidP="00CC359D" w:rsidRDefault="00CC359D" w14:paraId="2E79373B" w14:textId="77777777">
            <w:pPr>
              <w:spacing w:beforeAutospacing="1" w:afterAutospacing="1"/>
            </w:pPr>
            <w:r w:rsidRPr="000E4B8A">
              <w:rPr>
                <w:color w:val="000000"/>
              </w:rPr>
              <w:t>Non-targeted/broad community</w:t>
            </w:r>
          </w:p>
        </w:tc>
        <w:tc>
          <w:tcPr>
            <w:tcW w:w="0" w:type="auto"/>
            <w:tcBorders>
              <w:top w:val="single" w:color="auto" w:sz="4" w:space="0"/>
              <w:left w:val="single" w:color="auto" w:sz="4" w:space="0"/>
              <w:bottom w:val="single" w:color="auto" w:sz="4" w:space="0"/>
              <w:right w:val="single" w:color="auto" w:sz="4" w:space="0"/>
            </w:tcBorders>
            <w:vAlign w:val="center"/>
          </w:tcPr>
          <w:p w:rsidRPr="000E4B8A" w:rsidR="00CC359D" w:rsidP="00CC359D" w:rsidRDefault="00CC359D" w14:paraId="7B48A66D" w14:textId="702707F5">
            <w:pPr>
              <w:spacing w:beforeAutospacing="1" w:afterAutospacing="1"/>
            </w:pPr>
            <w:r w:rsidRPr="000E4B8A">
              <w:rPr>
                <w:color w:val="000000" w:themeColor="text1"/>
              </w:rPr>
              <w:t xml:space="preserve">A public hearing was held on April 26, 2021. </w:t>
            </w:r>
            <w:r w:rsidRPr="000E4B8A">
              <w:rPr>
                <w:color w:val="000000" w:themeColor="text1"/>
              </w:rPr>
              <w:lastRenderedPageBreak/>
              <w:t xml:space="preserve">Attendance included the City Council and the Mayor as well as members of the public. </w:t>
            </w:r>
          </w:p>
        </w:tc>
        <w:tc>
          <w:tcPr>
            <w:tcW w:w="671" w:type="pct"/>
            <w:tcBorders>
              <w:top w:val="single" w:color="auto" w:sz="4" w:space="0"/>
              <w:left w:val="single" w:color="auto" w:sz="4" w:space="0"/>
              <w:bottom w:val="single" w:color="auto" w:sz="4" w:space="0"/>
              <w:right w:val="single" w:color="auto" w:sz="4" w:space="0"/>
            </w:tcBorders>
            <w:vAlign w:val="center"/>
          </w:tcPr>
          <w:p w:rsidRPr="00CC4DA2" w:rsidR="00CC4DA2" w:rsidP="00CC4DA2" w:rsidRDefault="00CC4DA2" w14:paraId="12D5C30E" w14:textId="33CB70A5">
            <w:pPr>
              <w:spacing w:after="160" w:line="259" w:lineRule="auto"/>
              <w:rPr>
                <w:rFonts w:asciiTheme="minorHAnsi" w:hAnsiTheme="minorHAnsi" w:cstheme="minorHAnsi"/>
                <w:sz w:val="20"/>
                <w:szCs w:val="20"/>
              </w:rPr>
            </w:pPr>
            <w:r>
              <w:rPr>
                <w:rFonts w:asciiTheme="minorHAnsi" w:hAnsiTheme="minorHAnsi" w:cstheme="minorHAnsi"/>
                <w:sz w:val="20"/>
                <w:szCs w:val="20"/>
              </w:rPr>
              <w:lastRenderedPageBreak/>
              <w:t>A comment r</w:t>
            </w:r>
            <w:r w:rsidRPr="00CC4DA2">
              <w:rPr>
                <w:rFonts w:asciiTheme="minorHAnsi" w:hAnsiTheme="minorHAnsi" w:cstheme="minorHAnsi"/>
                <w:sz w:val="20"/>
                <w:szCs w:val="20"/>
              </w:rPr>
              <w:t xml:space="preserve">equested that more extensive outreach </w:t>
            </w:r>
            <w:r w:rsidRPr="00CC4DA2">
              <w:rPr>
                <w:rFonts w:asciiTheme="minorHAnsi" w:hAnsiTheme="minorHAnsi" w:cstheme="minorHAnsi"/>
                <w:sz w:val="20"/>
                <w:szCs w:val="20"/>
              </w:rPr>
              <w:lastRenderedPageBreak/>
              <w:t>be conducted by the City in order to solicit input from its housing insecure/homeless population</w:t>
            </w:r>
            <w:r>
              <w:rPr>
                <w:rFonts w:asciiTheme="minorHAnsi" w:hAnsiTheme="minorHAnsi" w:cstheme="minorHAnsi"/>
                <w:sz w:val="20"/>
                <w:szCs w:val="20"/>
              </w:rPr>
              <w:t>.</w:t>
            </w:r>
            <w:r w:rsidRPr="00CC4DA2">
              <w:rPr>
                <w:rFonts w:asciiTheme="minorHAnsi" w:hAnsiTheme="minorHAnsi" w:cstheme="minorHAnsi"/>
                <w:sz w:val="20"/>
                <w:szCs w:val="20"/>
              </w:rPr>
              <w:t xml:space="preserve"> </w:t>
            </w:r>
          </w:p>
          <w:p w:rsidRPr="00CC4DA2" w:rsidR="00CC4DA2" w:rsidP="00CC4DA2" w:rsidRDefault="00CC4DA2" w14:paraId="42A0822C" w14:textId="270E60DF">
            <w:pPr>
              <w:spacing w:after="160" w:line="259" w:lineRule="auto"/>
              <w:rPr>
                <w:rFonts w:asciiTheme="minorHAnsi" w:hAnsiTheme="minorHAnsi" w:cstheme="minorHAnsi"/>
                <w:sz w:val="20"/>
                <w:szCs w:val="20"/>
              </w:rPr>
            </w:pPr>
            <w:r w:rsidRPr="00CC4DA2">
              <w:rPr>
                <w:rFonts w:asciiTheme="minorHAnsi" w:hAnsiTheme="minorHAnsi" w:cstheme="minorHAnsi"/>
                <w:sz w:val="20"/>
                <w:szCs w:val="20"/>
              </w:rPr>
              <w:t xml:space="preserve">A comment was also made on the successes of the most recently established Daytime Warming Center at the VFH and the need to continue this program into the warmer months. </w:t>
            </w:r>
          </w:p>
          <w:p w:rsidRPr="00CC4DA2" w:rsidR="00CC359D" w:rsidP="00CC359D" w:rsidRDefault="00CC359D" w14:paraId="2D259531" w14:textId="6D3219C3">
            <w:pPr>
              <w:spacing w:after="160" w:line="259" w:lineRule="auto"/>
              <w:rPr>
                <w:rFonts w:asciiTheme="minorHAnsi" w:hAnsiTheme="minorHAnsi" w:cstheme="minorHAnsi"/>
                <w:sz w:val="20"/>
                <w:szCs w:val="20"/>
              </w:rPr>
            </w:pPr>
          </w:p>
        </w:tc>
        <w:tc>
          <w:tcPr>
            <w:tcW w:w="772" w:type="pct"/>
            <w:tcBorders>
              <w:top w:val="single" w:color="auto" w:sz="4" w:space="0"/>
              <w:left w:val="single" w:color="auto" w:sz="4" w:space="0"/>
              <w:bottom w:val="single" w:color="auto" w:sz="4" w:space="0"/>
              <w:right w:val="single" w:color="auto" w:sz="4" w:space="0"/>
            </w:tcBorders>
            <w:vAlign w:val="center"/>
          </w:tcPr>
          <w:p w:rsidRPr="000E4B8A" w:rsidR="00CC359D" w:rsidP="00CC359D" w:rsidRDefault="00CC4DA2" w14:paraId="15D93A5E" w14:textId="0FE63DA1">
            <w:pPr>
              <w:spacing w:beforeAutospacing="1" w:afterAutospacing="1"/>
              <w:rPr>
                <w:color w:val="000000"/>
              </w:rPr>
            </w:pPr>
            <w:r>
              <w:rPr>
                <w:color w:val="000000"/>
              </w:rPr>
              <w:lastRenderedPageBreak/>
              <w:t>Comments were accepted.</w:t>
            </w:r>
          </w:p>
        </w:tc>
        <w:tc>
          <w:tcPr>
            <w:tcW w:w="1130" w:type="pct"/>
            <w:tcBorders>
              <w:top w:val="single" w:color="auto" w:sz="4" w:space="0"/>
              <w:left w:val="single" w:color="auto" w:sz="4" w:space="0"/>
              <w:bottom w:val="single" w:color="auto" w:sz="4" w:space="0"/>
              <w:right w:val="single" w:color="auto" w:sz="4" w:space="0"/>
            </w:tcBorders>
            <w:vAlign w:val="center"/>
          </w:tcPr>
          <w:p w:rsidRPr="005E6237" w:rsidR="00CC359D" w:rsidP="00CC359D" w:rsidRDefault="00CC359D" w14:paraId="49A0D927" w14:textId="28EC0B94">
            <w:pPr>
              <w:spacing w:beforeAutospacing="1" w:afterAutospacing="1"/>
              <w:rPr>
                <w:rFonts w:asciiTheme="minorHAnsi" w:hAnsiTheme="minorHAnsi" w:cstheme="minorHAnsi"/>
              </w:rPr>
            </w:pPr>
            <w:r w:rsidRPr="000E4B8A">
              <w:rPr>
                <w:color w:val="000000"/>
              </w:rPr>
              <w:t xml:space="preserve"> </w:t>
            </w:r>
            <w:r w:rsidR="00241717">
              <w:rPr>
                <w:rFonts w:ascii="Verdana" w:hAnsi="Verdana"/>
                <w:color w:val="333333"/>
                <w:sz w:val="20"/>
                <w:szCs w:val="20"/>
                <w:shd w:val="clear" w:color="auto" w:fill="FFFFFF"/>
              </w:rPr>
              <w:t xml:space="preserve"> </w:t>
            </w:r>
            <w:hyperlink w:history="1" r:id="rId18">
              <w:r w:rsidRPr="005E6237" w:rsidR="00241717">
                <w:rPr>
                  <w:rStyle w:val="Hyperlink"/>
                  <w:rFonts w:asciiTheme="minorHAnsi" w:hAnsiTheme="minorHAnsi" w:cstheme="minorHAnsi"/>
                  <w:sz w:val="20"/>
                  <w:szCs w:val="20"/>
                  <w:shd w:val="clear" w:color="auto" w:fill="FFFFFF"/>
                </w:rPr>
                <w:t>https://www.youtube.com/playlist?list=PLljLFn4BZd2PwCge7lNoKug676jIf_iUA</w:t>
              </w:r>
            </w:hyperlink>
          </w:p>
        </w:tc>
      </w:tr>
    </w:tbl>
    <w:p w:rsidRPr="00864BDE" w:rsidR="00665350" w:rsidRDefault="00665350" w14:paraId="66665E49" w14:textId="683D67DD">
      <w:pPr>
        <w:keepNext/>
        <w:rPr>
          <w:b/>
          <w:sz w:val="24"/>
          <w:szCs w:val="24"/>
        </w:rPr>
      </w:pPr>
    </w:p>
    <w:p w:rsidRPr="00864BDE" w:rsidR="00777D08" w:rsidRDefault="00211F76" w14:paraId="1B84F033" w14:textId="122FD253">
      <w:pPr>
        <w:pStyle w:val="Caption"/>
        <w:jc w:val="center"/>
        <w:rPr>
          <w:rFonts w:asciiTheme="minorHAnsi" w:hAnsiTheme="minorHAnsi"/>
        </w:rPr>
      </w:pPr>
      <w:r w:rsidRPr="00864BDE">
        <w:rPr>
          <w:rFonts w:asciiTheme="minorHAnsi" w:hAnsiTheme="minorHAnsi"/>
        </w:rPr>
        <w:t xml:space="preserve">Table </w:t>
      </w:r>
      <w:r w:rsidRPr="00864BDE">
        <w:rPr>
          <w:rFonts w:asciiTheme="minorHAnsi" w:hAnsiTheme="minorHAnsi"/>
        </w:rPr>
        <w:fldChar w:fldCharType="begin"/>
      </w:r>
      <w:r w:rsidRPr="00864BDE">
        <w:rPr>
          <w:rFonts w:asciiTheme="minorHAnsi" w:hAnsiTheme="minorHAnsi"/>
        </w:rPr>
        <w:instrText xml:space="preserve"> SEQ Table \* ARABIC </w:instrText>
      </w:r>
      <w:r w:rsidRPr="00864BDE">
        <w:rPr>
          <w:rFonts w:asciiTheme="minorHAnsi" w:hAnsiTheme="minorHAnsi"/>
        </w:rPr>
        <w:fldChar w:fldCharType="separate"/>
      </w:r>
      <w:r w:rsidR="0090766A">
        <w:rPr>
          <w:rFonts w:asciiTheme="minorHAnsi" w:hAnsiTheme="minorHAnsi"/>
          <w:noProof/>
        </w:rPr>
        <w:t>4</w:t>
      </w:r>
      <w:r w:rsidRPr="00864BDE">
        <w:rPr>
          <w:rFonts w:asciiTheme="minorHAnsi" w:hAnsiTheme="minorHAnsi"/>
        </w:rPr>
        <w:fldChar w:fldCharType="end"/>
      </w:r>
      <w:r w:rsidRPr="00864BDE">
        <w:rPr>
          <w:rFonts w:asciiTheme="minorHAnsi" w:hAnsiTheme="minorHAnsi"/>
        </w:rPr>
        <w:t xml:space="preserve"> – Citizen Participation Outreach</w:t>
      </w:r>
    </w:p>
    <w:p w:rsidRPr="00ED22E1" w:rsidR="008C5C1C" w:rsidRDefault="008C5C1C" w14:paraId="55FF9A36" w14:textId="77E33A6A">
      <w:pPr>
        <w:rPr>
          <w:rFonts w:cs="Arial"/>
          <w:highlight w:val="lightGray"/>
        </w:rPr>
        <w:sectPr w:rsidRPr="00ED22E1" w:rsidR="008C5C1C" w:rsidSect="00C33E06">
          <w:headerReference w:type="default" r:id="rId19"/>
          <w:footerReference w:type="default" r:id="rId20"/>
          <w:pgSz w:w="12240" w:h="15840" w:orient="portrait" w:code="1"/>
          <w:pgMar w:top="1440" w:right="1440" w:bottom="1440" w:left="1440" w:header="720" w:footer="720" w:gutter="0"/>
          <w:cols w:space="720"/>
          <w:docGrid w:linePitch="360"/>
        </w:sectPr>
      </w:pPr>
    </w:p>
    <w:p w:rsidRPr="00AC6D9C" w:rsidR="00777D08" w:rsidP="00B8179A" w:rsidRDefault="00211F76" w14:paraId="2D749617" w14:textId="7CBD6389">
      <w:pPr>
        <w:pStyle w:val="Heading1"/>
        <w:jc w:val="center"/>
        <w:rPr>
          <w:rFonts w:ascii="Calibri" w:hAnsi="Calibri"/>
          <w:color w:val="auto"/>
          <w:sz w:val="32"/>
          <w:szCs w:val="32"/>
        </w:rPr>
      </w:pPr>
      <w:r w:rsidRPr="00AC6D9C">
        <w:rPr>
          <w:rFonts w:ascii="Calibri" w:hAnsi="Calibri"/>
          <w:color w:val="auto"/>
          <w:sz w:val="32"/>
          <w:szCs w:val="32"/>
        </w:rPr>
        <w:lastRenderedPageBreak/>
        <w:t>Expected Resources</w:t>
      </w:r>
    </w:p>
    <w:p w:rsidRPr="00561A97" w:rsidR="00777D08" w:rsidRDefault="00211F76" w14:paraId="6CAECCE4" w14:textId="77777777">
      <w:pPr>
        <w:pStyle w:val="Heading2"/>
        <w:rPr>
          <w:rFonts w:ascii="Calibri" w:hAnsi="Calibri"/>
          <w:i w:val="0"/>
        </w:rPr>
      </w:pPr>
      <w:bookmarkStart w:name="_Hlk68014831" w:id="0"/>
      <w:r w:rsidRPr="00561A97">
        <w:rPr>
          <w:rFonts w:ascii="Calibri" w:hAnsi="Calibri"/>
          <w:i w:val="0"/>
        </w:rPr>
        <w:t>AP-15 Expected Resources – 91.220(c)(1,2)</w:t>
      </w:r>
    </w:p>
    <w:p w:rsidRPr="00561A97" w:rsidR="00777D08" w:rsidRDefault="00211F76" w14:paraId="08F72D2F" w14:textId="77777777">
      <w:pPr>
        <w:keepNext/>
        <w:widowControl w:val="0"/>
        <w:spacing w:line="204" w:lineRule="auto"/>
        <w:rPr>
          <w:b/>
          <w:sz w:val="28"/>
          <w:szCs w:val="28"/>
        </w:rPr>
      </w:pPr>
      <w:r w:rsidRPr="00561A97">
        <w:rPr>
          <w:b/>
          <w:sz w:val="24"/>
          <w:szCs w:val="24"/>
        </w:rPr>
        <w:t>Introduction</w:t>
      </w:r>
    </w:p>
    <w:p w:rsidRPr="00561A97" w:rsidR="00777D08" w:rsidRDefault="00211F76" w14:paraId="0D8D1C59" w14:textId="7803D764">
      <w:pPr>
        <w:keepNext/>
        <w:widowControl w:val="0"/>
        <w:spacing w:beforeAutospacing="1" w:afterAutospacing="1"/>
        <w:rPr>
          <w:b/>
          <w:sz w:val="24"/>
          <w:szCs w:val="24"/>
        </w:rPr>
      </w:pPr>
      <w:r w:rsidRPr="00561A97">
        <w:t xml:space="preserve">In this section, the City identifies the federal, state, local, and private resources expected to be available to the jurisdiction to address the priority needs and specific objectives in the Strategic Plan. </w:t>
      </w:r>
    </w:p>
    <w:p w:rsidRPr="004977CA" w:rsidR="00777D08" w:rsidRDefault="00211F76" w14:paraId="7985459D" w14:textId="77777777">
      <w:pPr>
        <w:keepNext/>
        <w:widowControl w:val="0"/>
        <w:rPr>
          <w:b/>
          <w:sz w:val="24"/>
          <w:szCs w:val="24"/>
        </w:rPr>
      </w:pPr>
      <w:r w:rsidRPr="004977CA">
        <w:rPr>
          <w:b/>
          <w:sz w:val="24"/>
          <w:szCs w:val="24"/>
        </w:rPr>
        <w:t>Anticipated Resources</w:t>
      </w:r>
    </w:p>
    <w:tbl>
      <w:tblPr>
        <w:tblW w:w="5304"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9"/>
        <w:gridCol w:w="851"/>
        <w:gridCol w:w="1525"/>
        <w:gridCol w:w="1114"/>
        <w:gridCol w:w="929"/>
        <w:gridCol w:w="1115"/>
        <w:gridCol w:w="1218"/>
        <w:gridCol w:w="1127"/>
        <w:gridCol w:w="1388"/>
      </w:tblGrid>
      <w:tr w:rsidRPr="00ED22E1" w:rsidR="00777D08" w:rsidTr="00DD29F4" w14:paraId="15D5821C" w14:textId="77777777">
        <w:trPr>
          <w:cantSplit/>
          <w:tblHeader/>
        </w:trPr>
        <w:tc>
          <w:tcPr>
            <w:tcW w:w="929" w:type="dxa"/>
            <w:vMerge w:val="restart"/>
          </w:tcPr>
          <w:p w:rsidRPr="004977CA" w:rsidR="00777D08" w:rsidRDefault="00211F76" w14:paraId="08CC9C96" w14:textId="77777777">
            <w:pPr>
              <w:keepNext/>
              <w:widowControl w:val="0"/>
              <w:spacing w:after="0" w:line="240" w:lineRule="auto"/>
              <w:jc w:val="center"/>
              <w:rPr>
                <w:b/>
                <w:sz w:val="24"/>
                <w:szCs w:val="24"/>
              </w:rPr>
            </w:pPr>
            <w:r w:rsidRPr="004977CA">
              <w:rPr>
                <w:b/>
                <w:sz w:val="20"/>
                <w:szCs w:val="20"/>
              </w:rPr>
              <w:t>Program</w:t>
            </w:r>
          </w:p>
        </w:tc>
        <w:tc>
          <w:tcPr>
            <w:tcW w:w="851" w:type="dxa"/>
            <w:vMerge w:val="restart"/>
          </w:tcPr>
          <w:p w:rsidRPr="004977CA" w:rsidR="00777D08" w:rsidRDefault="00211F76" w14:paraId="2C9FE668" w14:textId="77777777">
            <w:pPr>
              <w:keepNext/>
              <w:widowControl w:val="0"/>
              <w:spacing w:after="0" w:line="240" w:lineRule="auto"/>
              <w:jc w:val="center"/>
              <w:rPr>
                <w:b/>
                <w:sz w:val="24"/>
                <w:szCs w:val="24"/>
              </w:rPr>
            </w:pPr>
            <w:r w:rsidRPr="004977CA">
              <w:rPr>
                <w:b/>
                <w:sz w:val="20"/>
                <w:szCs w:val="20"/>
              </w:rPr>
              <w:t>Source of Funds</w:t>
            </w:r>
          </w:p>
        </w:tc>
        <w:tc>
          <w:tcPr>
            <w:tcW w:w="1880" w:type="dxa"/>
            <w:vMerge w:val="restart"/>
          </w:tcPr>
          <w:p w:rsidRPr="004977CA" w:rsidR="00777D08" w:rsidRDefault="00211F76" w14:paraId="0D56FB4D" w14:textId="77777777">
            <w:pPr>
              <w:keepNext/>
              <w:widowControl w:val="0"/>
              <w:spacing w:after="0" w:line="240" w:lineRule="auto"/>
              <w:jc w:val="center"/>
              <w:rPr>
                <w:b/>
                <w:sz w:val="24"/>
                <w:szCs w:val="24"/>
              </w:rPr>
            </w:pPr>
            <w:r w:rsidRPr="004977CA">
              <w:rPr>
                <w:b/>
                <w:sz w:val="20"/>
                <w:szCs w:val="20"/>
              </w:rPr>
              <w:t>Uses of Funds</w:t>
            </w:r>
          </w:p>
        </w:tc>
        <w:tc>
          <w:tcPr>
            <w:tcW w:w="3743" w:type="dxa"/>
            <w:gridSpan w:val="4"/>
          </w:tcPr>
          <w:p w:rsidRPr="004977CA" w:rsidR="00777D08" w:rsidRDefault="00211F76" w14:paraId="5CF37271" w14:textId="77777777">
            <w:pPr>
              <w:keepNext/>
              <w:widowControl w:val="0"/>
              <w:spacing w:after="0" w:line="240" w:lineRule="auto"/>
              <w:jc w:val="center"/>
              <w:rPr>
                <w:b/>
                <w:sz w:val="24"/>
                <w:szCs w:val="24"/>
              </w:rPr>
            </w:pPr>
            <w:r w:rsidRPr="004977CA">
              <w:rPr>
                <w:b/>
                <w:bCs/>
                <w:sz w:val="20"/>
                <w:szCs w:val="20"/>
              </w:rPr>
              <w:t>Expected Amount Available Year 1</w:t>
            </w:r>
          </w:p>
        </w:tc>
        <w:tc>
          <w:tcPr>
            <w:tcW w:w="1127" w:type="dxa"/>
            <w:vMerge w:val="restart"/>
          </w:tcPr>
          <w:p w:rsidRPr="004977CA" w:rsidR="00777D08" w:rsidRDefault="00211F76" w14:paraId="027A3F1B" w14:textId="5372A65E">
            <w:pPr>
              <w:keepNext/>
              <w:widowControl w:val="0"/>
              <w:spacing w:after="0" w:line="240" w:lineRule="auto"/>
              <w:jc w:val="center"/>
              <w:rPr>
                <w:b/>
                <w:sz w:val="20"/>
                <w:szCs w:val="20"/>
              </w:rPr>
            </w:pPr>
            <w:r w:rsidRPr="004977CA">
              <w:rPr>
                <w:b/>
                <w:sz w:val="20"/>
                <w:szCs w:val="20"/>
              </w:rPr>
              <w:t>Expected Amount Available Remainder of Con</w:t>
            </w:r>
            <w:r w:rsidRPr="004977CA" w:rsidR="00D72BE4">
              <w:rPr>
                <w:b/>
                <w:sz w:val="20"/>
                <w:szCs w:val="20"/>
              </w:rPr>
              <w:t xml:space="preserve"> </w:t>
            </w:r>
            <w:r w:rsidRPr="004977CA">
              <w:rPr>
                <w:b/>
                <w:sz w:val="20"/>
                <w:szCs w:val="20"/>
              </w:rPr>
              <w:t xml:space="preserve">Plan </w:t>
            </w:r>
          </w:p>
          <w:p w:rsidRPr="004977CA" w:rsidR="00777D08" w:rsidRDefault="00211F76" w14:paraId="26D3B16C" w14:textId="77777777">
            <w:pPr>
              <w:keepNext/>
              <w:widowControl w:val="0"/>
              <w:spacing w:after="0" w:line="240" w:lineRule="auto"/>
              <w:jc w:val="center"/>
              <w:rPr>
                <w:b/>
                <w:sz w:val="24"/>
                <w:szCs w:val="24"/>
              </w:rPr>
            </w:pPr>
            <w:r w:rsidRPr="004977CA">
              <w:rPr>
                <w:b/>
                <w:sz w:val="20"/>
                <w:szCs w:val="20"/>
              </w:rPr>
              <w:t>$</w:t>
            </w:r>
          </w:p>
        </w:tc>
        <w:tc>
          <w:tcPr>
            <w:tcW w:w="1388" w:type="dxa"/>
            <w:vMerge w:val="restart"/>
          </w:tcPr>
          <w:p w:rsidRPr="00561A97" w:rsidR="00777D08" w:rsidRDefault="00211F76" w14:paraId="224A4212" w14:textId="77777777">
            <w:pPr>
              <w:keepNext/>
              <w:widowControl w:val="0"/>
              <w:spacing w:after="0" w:line="240" w:lineRule="auto"/>
              <w:jc w:val="center"/>
              <w:rPr>
                <w:b/>
                <w:sz w:val="24"/>
                <w:szCs w:val="24"/>
              </w:rPr>
            </w:pPr>
            <w:r w:rsidRPr="00561A97">
              <w:rPr>
                <w:b/>
                <w:sz w:val="20"/>
                <w:szCs w:val="20"/>
              </w:rPr>
              <w:t>Narrative Description</w:t>
            </w:r>
          </w:p>
        </w:tc>
      </w:tr>
      <w:tr w:rsidRPr="00ED22E1" w:rsidR="0012509F" w:rsidTr="00DD29F4" w14:paraId="586D4A31" w14:textId="77777777">
        <w:trPr>
          <w:cantSplit/>
          <w:tblHeader/>
        </w:trPr>
        <w:tc>
          <w:tcPr>
            <w:tcW w:w="929" w:type="dxa"/>
            <w:vMerge/>
          </w:tcPr>
          <w:p w:rsidRPr="004977CA" w:rsidR="00777D08" w:rsidRDefault="00777D08" w14:paraId="3AED3048" w14:textId="77777777">
            <w:pPr>
              <w:keepNext/>
              <w:widowControl w:val="0"/>
              <w:spacing w:after="0" w:line="240" w:lineRule="auto"/>
              <w:jc w:val="center"/>
              <w:rPr>
                <w:b/>
                <w:sz w:val="24"/>
                <w:szCs w:val="24"/>
              </w:rPr>
            </w:pPr>
          </w:p>
        </w:tc>
        <w:tc>
          <w:tcPr>
            <w:tcW w:w="851" w:type="dxa"/>
            <w:vMerge/>
          </w:tcPr>
          <w:p w:rsidRPr="004977CA" w:rsidR="00777D08" w:rsidRDefault="00777D08" w14:paraId="38621844" w14:textId="77777777">
            <w:pPr>
              <w:keepNext/>
              <w:widowControl w:val="0"/>
              <w:spacing w:after="0" w:line="240" w:lineRule="auto"/>
              <w:jc w:val="center"/>
              <w:rPr>
                <w:b/>
                <w:sz w:val="24"/>
                <w:szCs w:val="24"/>
              </w:rPr>
            </w:pPr>
          </w:p>
        </w:tc>
        <w:tc>
          <w:tcPr>
            <w:tcW w:w="1880" w:type="dxa"/>
            <w:vMerge/>
          </w:tcPr>
          <w:p w:rsidRPr="004977CA" w:rsidR="00777D08" w:rsidRDefault="00777D08" w14:paraId="2649C7F0" w14:textId="77777777">
            <w:pPr>
              <w:keepNext/>
              <w:widowControl w:val="0"/>
              <w:spacing w:after="0" w:line="240" w:lineRule="auto"/>
              <w:jc w:val="center"/>
              <w:rPr>
                <w:b/>
                <w:sz w:val="24"/>
                <w:szCs w:val="24"/>
              </w:rPr>
            </w:pPr>
          </w:p>
        </w:tc>
        <w:tc>
          <w:tcPr>
            <w:tcW w:w="759" w:type="dxa"/>
          </w:tcPr>
          <w:p w:rsidRPr="004977CA" w:rsidR="00777D08" w:rsidRDefault="00211F76" w14:paraId="778816DA" w14:textId="77777777">
            <w:pPr>
              <w:keepNext/>
              <w:widowControl w:val="0"/>
              <w:spacing w:after="0" w:line="240" w:lineRule="auto"/>
              <w:jc w:val="center"/>
              <w:rPr>
                <w:b/>
                <w:sz w:val="24"/>
                <w:szCs w:val="24"/>
              </w:rPr>
            </w:pPr>
            <w:r w:rsidRPr="004977CA">
              <w:rPr>
                <w:b/>
                <w:sz w:val="20"/>
                <w:szCs w:val="20"/>
              </w:rPr>
              <w:t>Annual Allocation: $</w:t>
            </w:r>
          </w:p>
        </w:tc>
        <w:tc>
          <w:tcPr>
            <w:tcW w:w="929" w:type="dxa"/>
          </w:tcPr>
          <w:p w:rsidRPr="004977CA" w:rsidR="00777D08" w:rsidRDefault="00211F76" w14:paraId="3AE1B324" w14:textId="77777777">
            <w:pPr>
              <w:keepNext/>
              <w:widowControl w:val="0"/>
              <w:spacing w:after="0" w:line="240" w:lineRule="auto"/>
              <w:jc w:val="center"/>
              <w:rPr>
                <w:b/>
                <w:sz w:val="24"/>
                <w:szCs w:val="24"/>
              </w:rPr>
            </w:pPr>
            <w:r w:rsidRPr="004977CA">
              <w:rPr>
                <w:b/>
                <w:sz w:val="20"/>
                <w:szCs w:val="20"/>
              </w:rPr>
              <w:t>Program Income: $</w:t>
            </w:r>
          </w:p>
        </w:tc>
        <w:tc>
          <w:tcPr>
            <w:tcW w:w="1115" w:type="dxa"/>
          </w:tcPr>
          <w:p w:rsidRPr="004977CA" w:rsidR="00777D08" w:rsidRDefault="00211F76" w14:paraId="7FA22EFC" w14:textId="77777777">
            <w:pPr>
              <w:keepNext/>
              <w:widowControl w:val="0"/>
              <w:spacing w:after="0" w:line="240" w:lineRule="auto"/>
              <w:jc w:val="center"/>
              <w:rPr>
                <w:b/>
                <w:sz w:val="24"/>
                <w:szCs w:val="24"/>
              </w:rPr>
            </w:pPr>
            <w:r w:rsidRPr="004977CA">
              <w:rPr>
                <w:b/>
                <w:sz w:val="20"/>
                <w:szCs w:val="20"/>
              </w:rPr>
              <w:t>Prior Year Resources: $</w:t>
            </w:r>
          </w:p>
        </w:tc>
        <w:tc>
          <w:tcPr>
            <w:tcW w:w="940" w:type="dxa"/>
          </w:tcPr>
          <w:p w:rsidRPr="004977CA" w:rsidR="00777D08" w:rsidRDefault="00211F76" w14:paraId="0BF1819F" w14:textId="77777777">
            <w:pPr>
              <w:keepNext/>
              <w:widowControl w:val="0"/>
              <w:spacing w:after="0" w:line="240" w:lineRule="auto"/>
              <w:jc w:val="center"/>
              <w:rPr>
                <w:b/>
                <w:sz w:val="20"/>
                <w:szCs w:val="20"/>
              </w:rPr>
            </w:pPr>
            <w:r w:rsidRPr="004977CA">
              <w:rPr>
                <w:b/>
                <w:sz w:val="20"/>
                <w:szCs w:val="20"/>
              </w:rPr>
              <w:t>Total:</w:t>
            </w:r>
          </w:p>
          <w:p w:rsidRPr="004977CA" w:rsidR="00777D08" w:rsidRDefault="00211F76" w14:paraId="4B065ED8" w14:textId="77777777">
            <w:pPr>
              <w:keepNext/>
              <w:widowControl w:val="0"/>
              <w:spacing w:after="0" w:line="240" w:lineRule="auto"/>
              <w:jc w:val="center"/>
              <w:rPr>
                <w:b/>
                <w:sz w:val="24"/>
                <w:szCs w:val="24"/>
              </w:rPr>
            </w:pPr>
            <w:r w:rsidRPr="004977CA">
              <w:rPr>
                <w:b/>
                <w:sz w:val="20"/>
                <w:szCs w:val="20"/>
              </w:rPr>
              <w:t>$</w:t>
            </w:r>
          </w:p>
        </w:tc>
        <w:tc>
          <w:tcPr>
            <w:tcW w:w="1127" w:type="dxa"/>
            <w:vMerge/>
          </w:tcPr>
          <w:p w:rsidRPr="004977CA" w:rsidR="00777D08" w:rsidRDefault="00777D08" w14:paraId="4E715325" w14:textId="77777777">
            <w:pPr>
              <w:keepNext/>
              <w:widowControl w:val="0"/>
              <w:spacing w:after="0" w:line="240" w:lineRule="auto"/>
              <w:jc w:val="center"/>
              <w:rPr>
                <w:b/>
                <w:sz w:val="24"/>
                <w:szCs w:val="24"/>
              </w:rPr>
            </w:pPr>
          </w:p>
        </w:tc>
        <w:tc>
          <w:tcPr>
            <w:tcW w:w="1388" w:type="dxa"/>
            <w:vMerge/>
          </w:tcPr>
          <w:p w:rsidRPr="00561A97" w:rsidR="00777D08" w:rsidRDefault="00777D08" w14:paraId="6C8F81A3" w14:textId="77777777">
            <w:pPr>
              <w:keepNext/>
              <w:widowControl w:val="0"/>
              <w:spacing w:after="0" w:line="240" w:lineRule="auto"/>
              <w:jc w:val="center"/>
              <w:rPr>
                <w:b/>
                <w:sz w:val="24"/>
                <w:szCs w:val="24"/>
              </w:rPr>
            </w:pPr>
          </w:p>
        </w:tc>
      </w:tr>
      <w:tr w:rsidRPr="00ED22E1" w:rsidR="00FE04A7" w:rsidTr="00707A8F" w14:paraId="2C27B08D" w14:textId="77777777">
        <w:trPr>
          <w:cantSplit/>
        </w:trPr>
        <w:tc>
          <w:tcPr>
            <w:tcW w:w="929" w:type="dxa"/>
          </w:tcPr>
          <w:p w:rsidRPr="004977CA" w:rsidR="00346A4E" w:rsidP="00346A4E" w:rsidRDefault="00346A4E" w14:paraId="73C41CEE" w14:textId="77777777">
            <w:pPr>
              <w:spacing w:beforeAutospacing="1" w:afterAutospacing="1"/>
            </w:pPr>
            <w:r w:rsidRPr="004977CA">
              <w:rPr>
                <w:color w:val="000000"/>
              </w:rPr>
              <w:t>CDBG</w:t>
            </w:r>
          </w:p>
        </w:tc>
        <w:tc>
          <w:tcPr>
            <w:tcW w:w="851" w:type="dxa"/>
          </w:tcPr>
          <w:p w:rsidRPr="004977CA" w:rsidR="00346A4E" w:rsidP="00346A4E" w:rsidRDefault="00346A4E" w14:paraId="4596BC37" w14:textId="77777777">
            <w:pPr>
              <w:spacing w:beforeAutospacing="1" w:afterAutospacing="1"/>
            </w:pPr>
            <w:r w:rsidRPr="004977CA">
              <w:rPr>
                <w:color w:val="000000"/>
              </w:rPr>
              <w:t>public - federal</w:t>
            </w:r>
          </w:p>
        </w:tc>
        <w:tc>
          <w:tcPr>
            <w:tcW w:w="1880" w:type="dxa"/>
          </w:tcPr>
          <w:p w:rsidRPr="004977CA" w:rsidR="00346A4E" w:rsidP="00346A4E" w:rsidRDefault="00346A4E" w14:paraId="42BF573B" w14:textId="77777777">
            <w:pPr>
              <w:spacing w:beforeAutospacing="1" w:afterAutospacing="1"/>
            </w:pPr>
            <w:r w:rsidRPr="004977CA">
              <w:rPr>
                <w:color w:val="000000"/>
              </w:rPr>
              <w:t>Acquisition</w:t>
            </w:r>
            <w:r w:rsidRPr="004977CA">
              <w:rPr>
                <w:color w:val="000000"/>
              </w:rPr>
              <w:br/>
            </w:r>
            <w:r w:rsidRPr="004977CA">
              <w:rPr>
                <w:color w:val="000000"/>
              </w:rPr>
              <w:t>Admin and Planning</w:t>
            </w:r>
            <w:r w:rsidRPr="004977CA">
              <w:rPr>
                <w:color w:val="000000"/>
              </w:rPr>
              <w:br/>
            </w:r>
            <w:r w:rsidRPr="004977CA">
              <w:rPr>
                <w:color w:val="000000"/>
              </w:rPr>
              <w:t>Economic Development</w:t>
            </w:r>
            <w:r w:rsidRPr="004977CA">
              <w:rPr>
                <w:color w:val="000000"/>
              </w:rPr>
              <w:br/>
            </w:r>
            <w:r w:rsidRPr="004977CA">
              <w:rPr>
                <w:color w:val="000000"/>
              </w:rPr>
              <w:t>Housing</w:t>
            </w:r>
            <w:r w:rsidRPr="004977CA">
              <w:rPr>
                <w:color w:val="000000"/>
              </w:rPr>
              <w:br/>
            </w:r>
            <w:r w:rsidRPr="004977CA">
              <w:rPr>
                <w:color w:val="000000"/>
              </w:rPr>
              <w:t>Public Improvements</w:t>
            </w:r>
            <w:r w:rsidRPr="004977CA">
              <w:rPr>
                <w:color w:val="000000"/>
              </w:rPr>
              <w:br/>
            </w:r>
            <w:r w:rsidRPr="004977CA">
              <w:rPr>
                <w:color w:val="000000"/>
              </w:rPr>
              <w:t>Public Services</w:t>
            </w:r>
          </w:p>
        </w:tc>
        <w:tc>
          <w:tcPr>
            <w:tcW w:w="759" w:type="dxa"/>
            <w:shd w:val="clear" w:color="auto" w:fill="auto"/>
            <w:vAlign w:val="bottom"/>
          </w:tcPr>
          <w:p w:rsidRPr="00707A8F" w:rsidR="00346A4E" w:rsidP="00346A4E" w:rsidRDefault="00DD29F4" w14:paraId="418256B0" w14:textId="491E1E94">
            <w:pPr>
              <w:spacing w:beforeAutospacing="1" w:afterAutospacing="1"/>
              <w:jc w:val="right"/>
              <w:rPr>
                <w:color w:val="000000"/>
              </w:rPr>
            </w:pPr>
            <w:r w:rsidRPr="00707A8F">
              <w:rPr>
                <w:color w:val="000000"/>
              </w:rPr>
              <w:t>$770,962</w:t>
            </w:r>
          </w:p>
        </w:tc>
        <w:tc>
          <w:tcPr>
            <w:tcW w:w="929" w:type="dxa"/>
            <w:shd w:val="clear" w:color="auto" w:fill="auto"/>
            <w:vAlign w:val="bottom"/>
          </w:tcPr>
          <w:p w:rsidRPr="00707A8F" w:rsidR="00346A4E" w:rsidP="00346A4E" w:rsidRDefault="00346A4E" w14:paraId="40447920" w14:textId="2B1CE5D3">
            <w:pPr>
              <w:spacing w:beforeAutospacing="1" w:afterAutospacing="1"/>
              <w:jc w:val="right"/>
              <w:rPr>
                <w:color w:val="000000"/>
              </w:rPr>
            </w:pPr>
            <w:r w:rsidRPr="00707A8F">
              <w:rPr>
                <w:color w:val="000000"/>
              </w:rPr>
              <w:t>0</w:t>
            </w:r>
          </w:p>
        </w:tc>
        <w:tc>
          <w:tcPr>
            <w:tcW w:w="1115" w:type="dxa"/>
            <w:shd w:val="clear" w:color="auto" w:fill="auto"/>
            <w:vAlign w:val="bottom"/>
          </w:tcPr>
          <w:p w:rsidRPr="00707A8F" w:rsidR="00346A4E" w:rsidP="00346A4E" w:rsidRDefault="00DD29F4" w14:paraId="1DE79CA4" w14:textId="5F198333">
            <w:pPr>
              <w:spacing w:beforeAutospacing="1" w:afterAutospacing="1"/>
              <w:jc w:val="right"/>
              <w:rPr>
                <w:color w:val="000000"/>
              </w:rPr>
            </w:pPr>
            <w:r w:rsidRPr="00707A8F">
              <w:rPr>
                <w:color w:val="000000"/>
                <w:highlight w:val="yellow"/>
              </w:rPr>
              <w:t>$</w:t>
            </w:r>
            <w:r w:rsidR="00EF1A90">
              <w:rPr>
                <w:color w:val="000000"/>
                <w:highlight w:val="yellow"/>
              </w:rPr>
              <w:t>2</w:t>
            </w:r>
            <w:r w:rsidR="004367B5">
              <w:rPr>
                <w:color w:val="000000"/>
                <w:highlight w:val="yellow"/>
              </w:rPr>
              <w:t>6</w:t>
            </w:r>
            <w:r w:rsidR="00A4391D">
              <w:rPr>
                <w:color w:val="000000"/>
                <w:highlight w:val="yellow"/>
              </w:rPr>
              <w:t>7</w:t>
            </w:r>
            <w:r w:rsidR="004367B5">
              <w:rPr>
                <w:color w:val="000000"/>
                <w:highlight w:val="yellow"/>
              </w:rPr>
              <w:t>,042</w:t>
            </w:r>
          </w:p>
        </w:tc>
        <w:tc>
          <w:tcPr>
            <w:tcW w:w="940" w:type="dxa"/>
            <w:shd w:val="clear" w:color="auto" w:fill="auto"/>
            <w:vAlign w:val="bottom"/>
          </w:tcPr>
          <w:p w:rsidRPr="00707A8F" w:rsidR="00346A4E" w:rsidP="00346A4E" w:rsidRDefault="00DD29F4" w14:paraId="5970F527" w14:textId="3A0B084E">
            <w:pPr>
              <w:spacing w:beforeAutospacing="1" w:afterAutospacing="1"/>
              <w:jc w:val="right"/>
              <w:rPr>
                <w:color w:val="000000"/>
              </w:rPr>
            </w:pPr>
            <w:r w:rsidRPr="00C7222F">
              <w:rPr>
                <w:color w:val="000000"/>
                <w:highlight w:val="yellow"/>
              </w:rPr>
              <w:t>$</w:t>
            </w:r>
            <w:r w:rsidRPr="00C7222F" w:rsidR="00C7222F">
              <w:rPr>
                <w:color w:val="000000"/>
                <w:highlight w:val="yellow"/>
              </w:rPr>
              <w:t>1,0</w:t>
            </w:r>
            <w:r w:rsidR="00DC757A">
              <w:rPr>
                <w:color w:val="000000"/>
                <w:highlight w:val="yellow"/>
              </w:rPr>
              <w:t>3</w:t>
            </w:r>
            <w:r w:rsidR="00A4391D">
              <w:rPr>
                <w:color w:val="000000"/>
                <w:highlight w:val="yellow"/>
              </w:rPr>
              <w:t>8</w:t>
            </w:r>
            <w:r w:rsidRPr="00C7222F" w:rsidR="00C7222F">
              <w:rPr>
                <w:color w:val="000000"/>
                <w:highlight w:val="yellow"/>
              </w:rPr>
              <w:t>,</w:t>
            </w:r>
            <w:r w:rsidR="00DC757A">
              <w:rPr>
                <w:color w:val="000000"/>
                <w:highlight w:val="yellow"/>
              </w:rPr>
              <w:t>004</w:t>
            </w:r>
          </w:p>
        </w:tc>
        <w:tc>
          <w:tcPr>
            <w:tcW w:w="1127" w:type="dxa"/>
            <w:vAlign w:val="bottom"/>
          </w:tcPr>
          <w:p w:rsidRPr="008606A5" w:rsidR="00346A4E" w:rsidP="008606A5" w:rsidRDefault="00DD29F4" w14:paraId="5D79AE23" w14:textId="51CB2C77">
            <w:pPr>
              <w:spacing w:beforeAutospacing="1" w:afterAutospacing="1"/>
              <w:jc w:val="center"/>
              <w:rPr>
                <w:b/>
                <w:highlight w:val="lightGray"/>
              </w:rPr>
            </w:pPr>
            <w:r>
              <w:rPr>
                <w:color w:val="000000"/>
              </w:rPr>
              <w:t>$</w:t>
            </w:r>
            <w:r w:rsidRPr="00567952">
              <w:rPr>
                <w:color w:val="000000"/>
              </w:rPr>
              <w:t>759,765</w:t>
            </w:r>
          </w:p>
        </w:tc>
        <w:tc>
          <w:tcPr>
            <w:tcW w:w="1388" w:type="dxa"/>
            <w:shd w:val="clear" w:color="auto" w:fill="auto"/>
          </w:tcPr>
          <w:p w:rsidRPr="00561A97" w:rsidR="00346A4E" w:rsidP="00346A4E" w:rsidRDefault="00346A4E" w14:paraId="201A4DCF" w14:textId="77777777">
            <w:pPr>
              <w:spacing w:beforeAutospacing="1" w:afterAutospacing="1"/>
            </w:pPr>
            <w:r w:rsidRPr="00561A97">
              <w:rPr>
                <w:color w:val="000000"/>
              </w:rPr>
              <w:t>The City expects to leverage significant federal, state, local and private resources over the course of the Consolidated Plan.</w:t>
            </w:r>
          </w:p>
        </w:tc>
      </w:tr>
      <w:tr w:rsidRPr="00ED22E1" w:rsidR="00C33E06" w:rsidTr="00DD29F4" w14:paraId="04482AC8" w14:textId="77777777">
        <w:trPr>
          <w:cantSplit/>
        </w:trPr>
        <w:tc>
          <w:tcPr>
            <w:tcW w:w="929" w:type="dxa"/>
          </w:tcPr>
          <w:p w:rsidRPr="00C33E06" w:rsidR="00C33E06" w:rsidP="00C33E06" w:rsidRDefault="00C33E06" w14:paraId="09ACED77" w14:textId="77777777">
            <w:pPr>
              <w:spacing w:beforeAutospacing="1" w:afterAutospacing="1"/>
            </w:pPr>
            <w:r w:rsidRPr="00C33E06">
              <w:rPr>
                <w:color w:val="000000"/>
              </w:rPr>
              <w:lastRenderedPageBreak/>
              <w:t>HOME</w:t>
            </w:r>
          </w:p>
        </w:tc>
        <w:tc>
          <w:tcPr>
            <w:tcW w:w="851" w:type="dxa"/>
          </w:tcPr>
          <w:p w:rsidRPr="00C33E06" w:rsidR="00C33E06" w:rsidP="00C33E06" w:rsidRDefault="00C33E06" w14:paraId="4A1E9258" w14:textId="77777777">
            <w:pPr>
              <w:spacing w:beforeAutospacing="1" w:afterAutospacing="1"/>
            </w:pPr>
            <w:r w:rsidRPr="00C33E06">
              <w:rPr>
                <w:color w:val="000000"/>
              </w:rPr>
              <w:t>public - federal</w:t>
            </w:r>
          </w:p>
        </w:tc>
        <w:tc>
          <w:tcPr>
            <w:tcW w:w="1880" w:type="dxa"/>
          </w:tcPr>
          <w:p w:rsidRPr="00C33E06" w:rsidR="00C33E06" w:rsidP="00C33E06" w:rsidRDefault="00C33E06" w14:paraId="11E128F1" w14:textId="77777777">
            <w:pPr>
              <w:spacing w:beforeAutospacing="1" w:afterAutospacing="1"/>
            </w:pPr>
            <w:r w:rsidRPr="00C33E06">
              <w:rPr>
                <w:color w:val="000000"/>
              </w:rPr>
              <w:t>Acquisition</w:t>
            </w:r>
            <w:r w:rsidRPr="00C33E06">
              <w:rPr>
                <w:color w:val="000000"/>
              </w:rPr>
              <w:br/>
            </w:r>
            <w:r w:rsidRPr="00C33E06">
              <w:rPr>
                <w:color w:val="000000"/>
              </w:rPr>
              <w:t>Homebuyer assistance</w:t>
            </w:r>
            <w:r w:rsidRPr="00C33E06">
              <w:rPr>
                <w:color w:val="000000"/>
              </w:rPr>
              <w:br/>
            </w:r>
            <w:r w:rsidRPr="00C33E06">
              <w:rPr>
                <w:color w:val="000000"/>
              </w:rPr>
              <w:t>Homeowner rehab</w:t>
            </w:r>
            <w:r w:rsidRPr="00C33E06">
              <w:rPr>
                <w:color w:val="000000"/>
              </w:rPr>
              <w:br/>
            </w:r>
            <w:r w:rsidRPr="00C33E06">
              <w:rPr>
                <w:color w:val="000000"/>
              </w:rPr>
              <w:t>Multifamily rental new construction</w:t>
            </w:r>
            <w:r w:rsidRPr="00C33E06">
              <w:rPr>
                <w:color w:val="000000"/>
              </w:rPr>
              <w:br/>
            </w:r>
            <w:r w:rsidRPr="00C33E06">
              <w:rPr>
                <w:color w:val="000000"/>
              </w:rPr>
              <w:t>Multifamily rental rehab</w:t>
            </w:r>
            <w:r w:rsidRPr="00C33E06">
              <w:rPr>
                <w:color w:val="000000"/>
              </w:rPr>
              <w:br/>
            </w:r>
            <w:r w:rsidRPr="00C33E06">
              <w:rPr>
                <w:color w:val="000000"/>
              </w:rPr>
              <w:t>New construction for ownership</w:t>
            </w:r>
            <w:r w:rsidRPr="00C33E06">
              <w:rPr>
                <w:color w:val="000000"/>
              </w:rPr>
              <w:br/>
            </w:r>
            <w:r w:rsidRPr="00C33E06">
              <w:rPr>
                <w:color w:val="000000"/>
              </w:rPr>
              <w:t>TBRA</w:t>
            </w:r>
          </w:p>
        </w:tc>
        <w:tc>
          <w:tcPr>
            <w:tcW w:w="759" w:type="dxa"/>
            <w:vAlign w:val="bottom"/>
          </w:tcPr>
          <w:p w:rsidRPr="00ED22E1" w:rsidR="00C33E06" w:rsidP="00C33E06" w:rsidRDefault="00C33E06" w14:paraId="05EC5968" w14:textId="7C489171">
            <w:pPr>
              <w:spacing w:beforeAutospacing="1" w:afterAutospacing="1"/>
              <w:jc w:val="right"/>
              <w:rPr>
                <w:highlight w:val="lightGray"/>
              </w:rPr>
            </w:pPr>
            <w:r w:rsidRPr="004B456D">
              <w:t>414,413</w:t>
            </w:r>
          </w:p>
        </w:tc>
        <w:tc>
          <w:tcPr>
            <w:tcW w:w="929" w:type="dxa"/>
            <w:vAlign w:val="bottom"/>
          </w:tcPr>
          <w:p w:rsidRPr="00ED22E1" w:rsidR="00C33E06" w:rsidP="001369DA" w:rsidRDefault="00C33E06" w14:paraId="572E9291" w14:textId="5FE40CDE">
            <w:pPr>
              <w:spacing w:before="100" w:beforeAutospacing="1" w:after="100" w:afterAutospacing="1"/>
              <w:jc w:val="right"/>
              <w:rPr>
                <w:highlight w:val="lightGray"/>
              </w:rPr>
            </w:pPr>
            <w:r w:rsidRPr="00AF07C0">
              <w:rPr>
                <w:color w:val="000000"/>
              </w:rPr>
              <w:t>0</w:t>
            </w:r>
          </w:p>
        </w:tc>
        <w:tc>
          <w:tcPr>
            <w:tcW w:w="1115" w:type="dxa"/>
            <w:vAlign w:val="bottom"/>
          </w:tcPr>
          <w:p w:rsidRPr="00ED22E1" w:rsidR="00C33E06" w:rsidP="00C33E06" w:rsidRDefault="00C33E06" w14:paraId="30B9AFD3" w14:textId="4ACE7CBC">
            <w:pPr>
              <w:spacing w:beforeAutospacing="1" w:afterAutospacing="1"/>
              <w:jc w:val="right"/>
              <w:rPr>
                <w:highlight w:val="lightGray"/>
              </w:rPr>
            </w:pPr>
            <w:r w:rsidRPr="00C33E06">
              <w:rPr>
                <w:color w:val="000000"/>
              </w:rPr>
              <w:t>0</w:t>
            </w:r>
          </w:p>
        </w:tc>
        <w:tc>
          <w:tcPr>
            <w:tcW w:w="940" w:type="dxa"/>
            <w:vAlign w:val="bottom"/>
          </w:tcPr>
          <w:p w:rsidRPr="00ED22E1" w:rsidR="00C33E06" w:rsidP="00C33E06" w:rsidRDefault="00C33E06" w14:paraId="5E9B01C0" w14:textId="7C01886C">
            <w:pPr>
              <w:spacing w:beforeAutospacing="1" w:afterAutospacing="1"/>
              <w:jc w:val="right"/>
              <w:rPr>
                <w:highlight w:val="lightGray"/>
              </w:rPr>
            </w:pPr>
            <w:r w:rsidRPr="004B456D">
              <w:t>414,413</w:t>
            </w:r>
          </w:p>
        </w:tc>
        <w:tc>
          <w:tcPr>
            <w:tcW w:w="1127" w:type="dxa"/>
            <w:vAlign w:val="bottom"/>
          </w:tcPr>
          <w:p w:rsidRPr="00ED22E1" w:rsidR="00C33E06" w:rsidP="00C33E06" w:rsidRDefault="00C33E06" w14:paraId="7B9F0341" w14:textId="59C18F9B">
            <w:pPr>
              <w:spacing w:before="100" w:beforeAutospacing="1" w:after="100" w:afterAutospacing="1"/>
              <w:jc w:val="right"/>
              <w:rPr>
                <w:highlight w:val="lightGray"/>
              </w:rPr>
            </w:pPr>
            <w:r w:rsidRPr="004B456D">
              <w:t>414,413</w:t>
            </w:r>
          </w:p>
        </w:tc>
        <w:tc>
          <w:tcPr>
            <w:tcW w:w="1388" w:type="dxa"/>
          </w:tcPr>
          <w:p w:rsidRPr="00ED22E1" w:rsidR="00C33E06" w:rsidP="00C33E06" w:rsidRDefault="00C33E06" w14:paraId="1E4CD305" w14:textId="63CEEC0B">
            <w:pPr>
              <w:spacing w:beforeAutospacing="1" w:afterAutospacing="1"/>
              <w:rPr>
                <w:highlight w:val="lightGray"/>
              </w:rPr>
            </w:pPr>
            <w:r w:rsidRPr="00561A97">
              <w:rPr>
                <w:color w:val="000000"/>
              </w:rPr>
              <w:t>The City expects to leverage significant federal, state, local and private resources over the course of the Consolidated Plan.</w:t>
            </w:r>
          </w:p>
        </w:tc>
      </w:tr>
    </w:tbl>
    <w:p w:rsidRPr="004B456D" w:rsidR="00777D08" w:rsidRDefault="00211F76" w14:paraId="5F9DE477" w14:textId="1DE9B4D6">
      <w:pPr>
        <w:pStyle w:val="Caption"/>
        <w:jc w:val="center"/>
        <w:rPr>
          <w:rFonts w:asciiTheme="minorHAnsi" w:hAnsiTheme="minorHAnsi"/>
        </w:rPr>
      </w:pPr>
      <w:r w:rsidRPr="004B456D">
        <w:rPr>
          <w:rFonts w:asciiTheme="minorHAnsi" w:hAnsiTheme="minorHAnsi"/>
        </w:rPr>
        <w:t xml:space="preserve">Table </w:t>
      </w:r>
      <w:r w:rsidRPr="004B456D">
        <w:rPr>
          <w:rFonts w:asciiTheme="minorHAnsi" w:hAnsiTheme="minorHAnsi"/>
        </w:rPr>
        <w:fldChar w:fldCharType="begin"/>
      </w:r>
      <w:r w:rsidRPr="004B456D">
        <w:rPr>
          <w:rFonts w:asciiTheme="minorHAnsi" w:hAnsiTheme="minorHAnsi"/>
        </w:rPr>
        <w:instrText xml:space="preserve"> SEQ Table \* ARABIC </w:instrText>
      </w:r>
      <w:r w:rsidRPr="004B456D">
        <w:rPr>
          <w:rFonts w:asciiTheme="minorHAnsi" w:hAnsiTheme="minorHAnsi"/>
        </w:rPr>
        <w:fldChar w:fldCharType="separate"/>
      </w:r>
      <w:r w:rsidR="0090766A">
        <w:rPr>
          <w:rFonts w:asciiTheme="minorHAnsi" w:hAnsiTheme="minorHAnsi"/>
          <w:noProof/>
        </w:rPr>
        <w:t>5</w:t>
      </w:r>
      <w:r w:rsidRPr="004B456D">
        <w:rPr>
          <w:rFonts w:asciiTheme="minorHAnsi" w:hAnsiTheme="minorHAnsi"/>
        </w:rPr>
        <w:fldChar w:fldCharType="end"/>
      </w:r>
      <w:r w:rsidRPr="004B456D">
        <w:rPr>
          <w:rFonts w:asciiTheme="minorHAnsi" w:hAnsiTheme="minorHAnsi"/>
        </w:rPr>
        <w:t xml:space="preserve"> - Expected Resources – Priority Table</w:t>
      </w:r>
    </w:p>
    <w:p w:rsidRPr="00ED22E1" w:rsidR="00777D08" w:rsidRDefault="00777D08" w14:paraId="475290B5" w14:textId="77777777">
      <w:pPr>
        <w:spacing w:after="0" w:line="240" w:lineRule="auto"/>
        <w:rPr>
          <w:b/>
          <w:sz w:val="24"/>
          <w:szCs w:val="24"/>
          <w:highlight w:val="lightGray"/>
        </w:rPr>
      </w:pPr>
      <w:bookmarkStart w:name="_Hlk68015384" w:id="1"/>
    </w:p>
    <w:bookmarkEnd w:id="0"/>
    <w:bookmarkEnd w:id="1"/>
    <w:p w:rsidRPr="00BD3B67" w:rsidR="00C33E06" w:rsidP="00C33E06" w:rsidRDefault="00C33E06" w14:paraId="1722FFC6" w14:textId="77777777">
      <w:pPr>
        <w:widowControl w:val="0"/>
        <w:rPr>
          <w:b/>
          <w:sz w:val="24"/>
          <w:szCs w:val="24"/>
        </w:rPr>
      </w:pPr>
      <w:r w:rsidRPr="00BD3B67">
        <w:rPr>
          <w:b/>
          <w:sz w:val="24"/>
          <w:szCs w:val="24"/>
        </w:rPr>
        <w:t>Explain how federal funds will leverage those additional resources (private, state and local funds), including a description of how matching requirements will be satisfied</w:t>
      </w:r>
    </w:p>
    <w:p w:rsidRPr="00BD3B67" w:rsidR="00C33E06" w:rsidP="001369DA" w:rsidRDefault="00C33E06" w14:paraId="34BB15AA" w14:textId="6A8EE0B3">
      <w:pPr>
        <w:widowControl w:val="0"/>
        <w:spacing w:before="100" w:beforeAutospacing="1" w:after="100" w:afterAutospacing="1"/>
        <w:rPr>
          <w:szCs w:val="24"/>
        </w:rPr>
      </w:pPr>
      <w:bookmarkStart w:name="_Hlk68005293" w:id="2"/>
      <w:r w:rsidRPr="00BD3B67">
        <w:t>The City anticipates $</w:t>
      </w:r>
      <w:r w:rsidR="001369DA">
        <w:t>20.6</w:t>
      </w:r>
      <w:r w:rsidRPr="00BD3B67">
        <w:t xml:space="preserve"> million in Section 8 resources, and </w:t>
      </w:r>
      <w:r>
        <w:t xml:space="preserve">approximately </w:t>
      </w:r>
      <w:r w:rsidRPr="00BD3B67">
        <w:t>$1</w:t>
      </w:r>
      <w:r>
        <w:t>.1</w:t>
      </w:r>
      <w:r w:rsidRPr="00BD3B67">
        <w:t xml:space="preserve"> million ($5.7 million over 5 years) in McKinney-Vento Homeless Assistance Act will be available to address needs and objectives identified in the Plan.  </w:t>
      </w:r>
      <w:r>
        <w:t>While t</w:t>
      </w:r>
      <w:r w:rsidRPr="00BD3B67">
        <w:t>hese are not resources that the City receives or controls</w:t>
      </w:r>
      <w:r>
        <w:t>, they provide a critical contribution to reaching the City’s Action Plan goals. Furthermore, t</w:t>
      </w:r>
      <w:r w:rsidRPr="00BD3B67">
        <w:t xml:space="preserve">he City </w:t>
      </w:r>
      <w:r>
        <w:t>is implementing</w:t>
      </w:r>
      <w:r w:rsidRPr="00BD3B67">
        <w:t xml:space="preserve"> a $</w:t>
      </w:r>
      <w:r>
        <w:t>3.6</w:t>
      </w:r>
      <w:r w:rsidRPr="00BD3B67">
        <w:t xml:space="preserve"> million</w:t>
      </w:r>
      <w:r>
        <w:t xml:space="preserve"> </w:t>
      </w:r>
      <w:r w:rsidRPr="00BD3B67">
        <w:t>Healthy Homes Lead Grant</w:t>
      </w:r>
      <w:r>
        <w:t xml:space="preserve"> covering the period of January 2021 through July 2024</w:t>
      </w:r>
      <w:r w:rsidRPr="00BD3B67">
        <w:t>.</w:t>
      </w:r>
    </w:p>
    <w:p w:rsidRPr="00BD3B67" w:rsidR="00C33E06" w:rsidP="00C33E06" w:rsidRDefault="00C33E06" w14:paraId="083AE038" w14:textId="77777777">
      <w:pPr>
        <w:widowControl w:val="0"/>
        <w:spacing w:beforeAutospacing="1" w:afterAutospacing="1"/>
        <w:rPr>
          <w:szCs w:val="24"/>
        </w:rPr>
      </w:pPr>
      <w:r w:rsidRPr="00BD3B67">
        <w:t xml:space="preserve">Overall, the City expects to leverage </w:t>
      </w:r>
      <w:r>
        <w:t xml:space="preserve">over </w:t>
      </w:r>
      <w:r w:rsidRPr="00BD3B67">
        <w:t>$</w:t>
      </w:r>
      <w:r>
        <w:t>20</w:t>
      </w:r>
      <w:r w:rsidRPr="00BD3B67">
        <w:t xml:space="preserve"> million in state, local, private and other federal resources for its CDBG- and HOME-funded activities.  These are funds that the City and its subgrantees expect to raise for their budgeted activities as well as funds that the City expects outside entities to invest in development activities.</w:t>
      </w:r>
    </w:p>
    <w:p w:rsidR="005B5B81" w:rsidP="005B5B81" w:rsidRDefault="00C33E06" w14:paraId="50974F05" w14:textId="77777777">
      <w:pPr>
        <w:widowControl w:val="0"/>
        <w:spacing w:before="100" w:beforeAutospacing="1" w:after="100" w:afterAutospacing="1"/>
      </w:pPr>
      <w:r w:rsidRPr="005E7B1D">
        <w:t xml:space="preserve">The City will meet or exceed the requirement that “contributions must total not less than 25% of funds drawn from the jurisdiction’s HOME Investment Trust Fund Treasury account in that fiscal year,” excluding funds drawn for administrative and planning costs pursuant to 24 CFR 92.207.  Sources of matching funds include, but are not limited to, the Vermont Housing </w:t>
      </w:r>
      <w:r>
        <w:t>&amp;</w:t>
      </w:r>
      <w:r w:rsidRPr="005E7B1D">
        <w:t xml:space="preserve"> Conservation Trust Fund, the </w:t>
      </w:r>
      <w:r w:rsidRPr="005E7B1D">
        <w:lastRenderedPageBreak/>
        <w:t>Burlington Housing Trust Fund, waiver of impact fees, and private debt financing secured by property owners and nonprofit organizations.</w:t>
      </w:r>
      <w:bookmarkEnd w:id="2"/>
    </w:p>
    <w:p w:rsidRPr="007A2781" w:rsidR="00777D08" w:rsidP="005B5B81" w:rsidRDefault="00211F76" w14:paraId="1DF015A5" w14:textId="5D16D933">
      <w:pPr>
        <w:widowControl w:val="0"/>
        <w:spacing w:before="100" w:beforeAutospacing="1" w:after="100" w:afterAutospacing="1"/>
        <w:rPr>
          <w:b/>
          <w:sz w:val="24"/>
          <w:szCs w:val="24"/>
        </w:rPr>
      </w:pPr>
      <w:r w:rsidRPr="007A2781">
        <w:rPr>
          <w:b/>
          <w:sz w:val="24"/>
          <w:szCs w:val="24"/>
        </w:rPr>
        <w:t xml:space="preserve">If appropriate, describe </w:t>
      </w:r>
      <w:r w:rsidRPr="007A2781" w:rsidR="007A2781">
        <w:rPr>
          <w:b/>
          <w:sz w:val="24"/>
          <w:szCs w:val="24"/>
        </w:rPr>
        <w:t>publicly</w:t>
      </w:r>
      <w:r w:rsidRPr="007A2781">
        <w:rPr>
          <w:b/>
          <w:sz w:val="24"/>
          <w:szCs w:val="24"/>
        </w:rPr>
        <w:t xml:space="preserve"> owned land or property located within the jurisdiction that may be used to address the need</w:t>
      </w:r>
      <w:r w:rsidR="00235AE1">
        <w:rPr>
          <w:b/>
          <w:sz w:val="24"/>
          <w:szCs w:val="24"/>
        </w:rPr>
        <w:t xml:space="preserve">s </w:t>
      </w:r>
      <w:r w:rsidRPr="007A2781">
        <w:rPr>
          <w:b/>
          <w:sz w:val="24"/>
          <w:szCs w:val="24"/>
        </w:rPr>
        <w:t>identified in the plan</w:t>
      </w:r>
    </w:p>
    <w:p w:rsidRPr="007A2781" w:rsidR="009E2774" w:rsidRDefault="00211F76" w14:paraId="50347E03" w14:textId="687FB352">
      <w:pPr>
        <w:keepNext/>
        <w:widowControl w:val="0"/>
        <w:spacing w:beforeAutospacing="1" w:afterAutospacing="1"/>
      </w:pPr>
      <w:r w:rsidRPr="007A2781">
        <w:t>There is no City owned land or property that is appropriate to be used to address the needs identified in the Plan.</w:t>
      </w:r>
    </w:p>
    <w:p w:rsidRPr="00C80C71" w:rsidR="00777D08" w:rsidRDefault="009E2774" w14:paraId="724C6BE2" w14:textId="130FF3A6">
      <w:pPr>
        <w:keepNext/>
        <w:widowControl w:val="0"/>
        <w:spacing w:line="204" w:lineRule="auto"/>
        <w:rPr>
          <w:b/>
          <w:sz w:val="24"/>
          <w:szCs w:val="24"/>
        </w:rPr>
      </w:pPr>
      <w:r w:rsidRPr="00C80C71">
        <w:rPr>
          <w:b/>
          <w:sz w:val="24"/>
          <w:szCs w:val="24"/>
        </w:rPr>
        <w:t>Discussion:</w:t>
      </w:r>
    </w:p>
    <w:p w:rsidRPr="00ED22E1" w:rsidR="009E2774" w:rsidP="009E2774" w:rsidRDefault="009E2774" w14:paraId="19D44305" w14:textId="1B90DEA4">
      <w:pPr>
        <w:keepNext/>
        <w:widowControl w:val="0"/>
        <w:spacing w:beforeAutospacing="1" w:afterAutospacing="1"/>
        <w:rPr>
          <w:b/>
          <w:sz w:val="24"/>
          <w:szCs w:val="24"/>
          <w:highlight w:val="lightGray"/>
        </w:rPr>
      </w:pPr>
      <w:r w:rsidRPr="00C80C71">
        <w:t xml:space="preserve">The City's Entitlement includes CDBG and HOME funds. The City has also received a </w:t>
      </w:r>
      <w:r w:rsidR="00C80C71">
        <w:rPr>
          <w:rFonts w:cs="Arial"/>
        </w:rPr>
        <w:t xml:space="preserve">$3,093,922.00 Lead-Based Paint Hazard Control grant from the Department of Housing and Urban Development and a $530,000.00 Healthy Homes grant. </w:t>
      </w:r>
      <w:r w:rsidRPr="006C1274">
        <w:t>There are local agencies that receive Essential Services Grant funding from the state. The City is the Collaborative Applicant for the McKinney-Vento Homeless Assistance Act funds but does not receive this funding; it goes directly to the local providers.</w:t>
      </w:r>
    </w:p>
    <w:p w:rsidRPr="00ED22E1" w:rsidR="00F37637" w:rsidRDefault="00F37637" w14:paraId="68E400D9" w14:textId="4FE7DC83">
      <w:pPr>
        <w:keepNext/>
        <w:widowControl w:val="0"/>
        <w:spacing w:line="204" w:lineRule="auto"/>
        <w:rPr>
          <w:b/>
          <w:sz w:val="24"/>
          <w:szCs w:val="24"/>
          <w:highlight w:val="lightGray"/>
        </w:rPr>
      </w:pPr>
    </w:p>
    <w:p w:rsidRPr="00ED22E1" w:rsidR="00F37637" w:rsidP="00F37637" w:rsidRDefault="00F37637" w14:paraId="1109B70F" w14:textId="77777777">
      <w:pPr>
        <w:rPr>
          <w:sz w:val="24"/>
          <w:szCs w:val="24"/>
          <w:highlight w:val="lightGray"/>
        </w:rPr>
      </w:pPr>
    </w:p>
    <w:p w:rsidRPr="00ED22E1" w:rsidR="00F37637" w:rsidP="00F37637" w:rsidRDefault="00F37637" w14:paraId="403FAC80" w14:textId="77777777">
      <w:pPr>
        <w:rPr>
          <w:sz w:val="24"/>
          <w:szCs w:val="24"/>
          <w:highlight w:val="lightGray"/>
        </w:rPr>
      </w:pPr>
    </w:p>
    <w:p w:rsidRPr="00ED22E1" w:rsidR="00F37637" w:rsidP="00F37637" w:rsidRDefault="00F37637" w14:paraId="7C268EF5" w14:textId="77777777">
      <w:pPr>
        <w:rPr>
          <w:sz w:val="24"/>
          <w:szCs w:val="24"/>
          <w:highlight w:val="lightGray"/>
        </w:rPr>
      </w:pPr>
    </w:p>
    <w:p w:rsidRPr="00ED22E1" w:rsidR="00F37637" w:rsidP="00F37637" w:rsidRDefault="00F37637" w14:paraId="422D079F" w14:textId="77777777">
      <w:pPr>
        <w:rPr>
          <w:sz w:val="24"/>
          <w:szCs w:val="24"/>
          <w:highlight w:val="lightGray"/>
        </w:rPr>
      </w:pPr>
    </w:p>
    <w:p w:rsidRPr="00ED22E1" w:rsidR="00F37637" w:rsidP="00F37637" w:rsidRDefault="00F37637" w14:paraId="56623557" w14:textId="77777777">
      <w:pPr>
        <w:rPr>
          <w:sz w:val="24"/>
          <w:szCs w:val="24"/>
          <w:highlight w:val="lightGray"/>
        </w:rPr>
      </w:pPr>
    </w:p>
    <w:p w:rsidRPr="00ED22E1" w:rsidR="00F37637" w:rsidP="00F37637" w:rsidRDefault="00F37637" w14:paraId="2B1AB396" w14:textId="77777777">
      <w:pPr>
        <w:rPr>
          <w:sz w:val="24"/>
          <w:szCs w:val="24"/>
          <w:highlight w:val="lightGray"/>
        </w:rPr>
      </w:pPr>
    </w:p>
    <w:p w:rsidRPr="00ED22E1" w:rsidR="00F37637" w:rsidP="00F37637" w:rsidRDefault="00F37637" w14:paraId="4F202D96" w14:textId="77777777">
      <w:pPr>
        <w:rPr>
          <w:sz w:val="24"/>
          <w:szCs w:val="24"/>
          <w:highlight w:val="lightGray"/>
        </w:rPr>
      </w:pPr>
    </w:p>
    <w:p w:rsidRPr="00ED22E1" w:rsidR="00F37637" w:rsidP="00F37637" w:rsidRDefault="00F37637" w14:paraId="2BA9931E" w14:textId="77777777">
      <w:pPr>
        <w:rPr>
          <w:sz w:val="24"/>
          <w:szCs w:val="24"/>
          <w:highlight w:val="lightGray"/>
        </w:rPr>
      </w:pPr>
    </w:p>
    <w:p w:rsidRPr="00ED22E1" w:rsidR="00F37637" w:rsidP="00F37637" w:rsidRDefault="00F37637" w14:paraId="2A48864D" w14:textId="77777777">
      <w:pPr>
        <w:rPr>
          <w:sz w:val="24"/>
          <w:szCs w:val="24"/>
          <w:highlight w:val="lightGray"/>
        </w:rPr>
      </w:pPr>
    </w:p>
    <w:p w:rsidRPr="00363F6A" w:rsidR="00777D08" w:rsidP="00886155" w:rsidRDefault="00211F76" w14:paraId="6EC46310" w14:textId="77777777">
      <w:pPr>
        <w:pStyle w:val="Heading1"/>
        <w:pageBreakBefore/>
        <w:jc w:val="center"/>
        <w:rPr>
          <w:rFonts w:ascii="Calibri" w:hAnsi="Calibri"/>
          <w:color w:val="auto"/>
          <w:sz w:val="32"/>
          <w:szCs w:val="32"/>
        </w:rPr>
      </w:pPr>
      <w:r w:rsidRPr="00363F6A">
        <w:rPr>
          <w:rFonts w:ascii="Calibri" w:hAnsi="Calibri"/>
          <w:color w:val="auto"/>
          <w:sz w:val="32"/>
          <w:szCs w:val="32"/>
        </w:rPr>
        <w:lastRenderedPageBreak/>
        <w:t>Annual Goals and Objectives</w:t>
      </w:r>
    </w:p>
    <w:p w:rsidRPr="00363F6A" w:rsidR="00777D08" w:rsidRDefault="00777D08" w14:paraId="7F194A47" w14:textId="77777777">
      <w:pPr>
        <w:rPr>
          <w:b/>
          <w:sz w:val="28"/>
          <w:szCs w:val="28"/>
        </w:rPr>
      </w:pPr>
    </w:p>
    <w:p w:rsidRPr="00363F6A" w:rsidR="009B5375" w:rsidP="00820576" w:rsidRDefault="00211F76" w14:paraId="0DAEE1D4" w14:textId="77777777">
      <w:pPr>
        <w:rPr>
          <w:b/>
          <w:sz w:val="28"/>
          <w:szCs w:val="28"/>
        </w:rPr>
      </w:pPr>
      <w:bookmarkStart w:name="_Hlk68001055" w:id="3"/>
      <w:r w:rsidRPr="00363F6A">
        <w:rPr>
          <w:b/>
          <w:sz w:val="28"/>
          <w:szCs w:val="28"/>
        </w:rPr>
        <w:t>AP-20 Annual Goals and Objectives</w:t>
      </w:r>
      <w:r w:rsidRPr="00363F6A" w:rsidR="00410EB5">
        <w:rPr>
          <w:b/>
          <w:sz w:val="28"/>
          <w:szCs w:val="28"/>
        </w:rPr>
        <w:t xml:space="preserve"> </w:t>
      </w:r>
    </w:p>
    <w:p w:rsidRPr="00363F6A" w:rsidR="00777D08" w:rsidP="00820576" w:rsidRDefault="00211F76" w14:paraId="23A6004C" w14:textId="79BE1EC2">
      <w:pPr>
        <w:rPr>
          <w:b/>
          <w:sz w:val="24"/>
          <w:szCs w:val="24"/>
        </w:rPr>
      </w:pPr>
      <w:r w:rsidRPr="00363F6A">
        <w:rPr>
          <w:b/>
          <w:sz w:val="24"/>
          <w:szCs w:val="24"/>
        </w:rPr>
        <w:t>Goals Summary Information</w:t>
      </w:r>
    </w:p>
    <w:tbl>
      <w:tblPr>
        <w:tblW w:w="5629" w:type="pct"/>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20"/>
        <w:gridCol w:w="1260"/>
        <w:gridCol w:w="540"/>
        <w:gridCol w:w="720"/>
        <w:gridCol w:w="990"/>
        <w:gridCol w:w="1153"/>
        <w:gridCol w:w="1684"/>
        <w:gridCol w:w="1213"/>
        <w:gridCol w:w="2246"/>
      </w:tblGrid>
      <w:tr w:rsidRPr="00ED22E1" w:rsidR="00D72BE4" w:rsidTr="00EF1A90" w14:paraId="4838A6C3" w14:textId="77777777">
        <w:trPr>
          <w:cantSplit/>
          <w:trHeight w:val="486"/>
          <w:tblHeader/>
        </w:trPr>
        <w:tc>
          <w:tcPr>
            <w:tcW w:w="720" w:type="dxa"/>
          </w:tcPr>
          <w:p w:rsidRPr="00A270B0" w:rsidR="00777D08" w:rsidRDefault="00211F76" w14:paraId="326623C0" w14:textId="77777777">
            <w:pPr>
              <w:keepNext/>
              <w:widowControl w:val="0"/>
              <w:spacing w:after="0" w:line="240" w:lineRule="auto"/>
              <w:jc w:val="center"/>
              <w:rPr>
                <w:b/>
                <w:sz w:val="20"/>
                <w:szCs w:val="20"/>
              </w:rPr>
            </w:pPr>
            <w:bookmarkStart w:name="_Hlk68712777" w:id="4"/>
            <w:r w:rsidRPr="00A270B0">
              <w:rPr>
                <w:b/>
                <w:sz w:val="20"/>
                <w:szCs w:val="20"/>
              </w:rPr>
              <w:t>Sort Order</w:t>
            </w:r>
          </w:p>
        </w:tc>
        <w:tc>
          <w:tcPr>
            <w:tcW w:w="1260" w:type="dxa"/>
          </w:tcPr>
          <w:p w:rsidRPr="00A270B0" w:rsidR="00777D08" w:rsidRDefault="00211F76" w14:paraId="137642D0" w14:textId="77777777">
            <w:pPr>
              <w:keepNext/>
              <w:widowControl w:val="0"/>
              <w:spacing w:after="0" w:line="240" w:lineRule="auto"/>
              <w:jc w:val="center"/>
              <w:rPr>
                <w:b/>
                <w:sz w:val="20"/>
                <w:szCs w:val="20"/>
              </w:rPr>
            </w:pPr>
            <w:r w:rsidRPr="00A270B0">
              <w:rPr>
                <w:b/>
                <w:sz w:val="20"/>
                <w:szCs w:val="20"/>
              </w:rPr>
              <w:t>Goal Name</w:t>
            </w:r>
          </w:p>
        </w:tc>
        <w:tc>
          <w:tcPr>
            <w:tcW w:w="540" w:type="dxa"/>
          </w:tcPr>
          <w:p w:rsidRPr="00A270B0" w:rsidR="00777D08" w:rsidRDefault="00211F76" w14:paraId="3AEDD2AC" w14:textId="77777777">
            <w:pPr>
              <w:keepNext/>
              <w:widowControl w:val="0"/>
              <w:spacing w:after="0" w:line="240" w:lineRule="auto"/>
              <w:jc w:val="center"/>
              <w:rPr>
                <w:b/>
                <w:sz w:val="20"/>
                <w:szCs w:val="20"/>
              </w:rPr>
            </w:pPr>
            <w:r w:rsidRPr="00A270B0">
              <w:rPr>
                <w:b/>
                <w:sz w:val="20"/>
                <w:szCs w:val="20"/>
              </w:rPr>
              <w:t>Start Year</w:t>
            </w:r>
          </w:p>
        </w:tc>
        <w:tc>
          <w:tcPr>
            <w:tcW w:w="720" w:type="dxa"/>
          </w:tcPr>
          <w:p w:rsidRPr="00A270B0" w:rsidR="00777D08" w:rsidRDefault="00211F76" w14:paraId="50B7D14C" w14:textId="77777777">
            <w:pPr>
              <w:keepNext/>
              <w:widowControl w:val="0"/>
              <w:spacing w:after="0" w:line="240" w:lineRule="auto"/>
              <w:jc w:val="center"/>
              <w:rPr>
                <w:b/>
                <w:sz w:val="20"/>
                <w:szCs w:val="20"/>
              </w:rPr>
            </w:pPr>
            <w:r w:rsidRPr="00A270B0">
              <w:rPr>
                <w:b/>
                <w:sz w:val="20"/>
                <w:szCs w:val="20"/>
              </w:rPr>
              <w:t>End Year</w:t>
            </w:r>
          </w:p>
        </w:tc>
        <w:tc>
          <w:tcPr>
            <w:tcW w:w="990" w:type="dxa"/>
          </w:tcPr>
          <w:p w:rsidRPr="00A270B0" w:rsidR="00777D08" w:rsidRDefault="00211F76" w14:paraId="36E52F05" w14:textId="77777777">
            <w:pPr>
              <w:keepNext/>
              <w:widowControl w:val="0"/>
              <w:spacing w:after="0" w:line="240" w:lineRule="auto"/>
              <w:jc w:val="center"/>
              <w:rPr>
                <w:b/>
                <w:sz w:val="20"/>
                <w:szCs w:val="20"/>
              </w:rPr>
            </w:pPr>
            <w:r w:rsidRPr="00A270B0">
              <w:rPr>
                <w:b/>
                <w:sz w:val="20"/>
                <w:szCs w:val="20"/>
              </w:rPr>
              <w:t>Category</w:t>
            </w:r>
          </w:p>
        </w:tc>
        <w:tc>
          <w:tcPr>
            <w:tcW w:w="1153" w:type="dxa"/>
          </w:tcPr>
          <w:p w:rsidRPr="00A270B0" w:rsidR="00777D08" w:rsidRDefault="00211F76" w14:paraId="1149A790" w14:textId="77777777">
            <w:pPr>
              <w:keepNext/>
              <w:widowControl w:val="0"/>
              <w:spacing w:after="0" w:line="240" w:lineRule="auto"/>
              <w:jc w:val="center"/>
              <w:rPr>
                <w:b/>
                <w:sz w:val="20"/>
                <w:szCs w:val="20"/>
              </w:rPr>
            </w:pPr>
            <w:r w:rsidRPr="00A270B0">
              <w:rPr>
                <w:b/>
                <w:sz w:val="20"/>
                <w:szCs w:val="20"/>
              </w:rPr>
              <w:t>Geographic Area</w:t>
            </w:r>
          </w:p>
        </w:tc>
        <w:tc>
          <w:tcPr>
            <w:tcW w:w="1684" w:type="dxa"/>
          </w:tcPr>
          <w:p w:rsidRPr="00A270B0" w:rsidR="00777D08" w:rsidRDefault="00211F76" w14:paraId="51AE037F" w14:textId="77777777">
            <w:pPr>
              <w:keepNext/>
              <w:widowControl w:val="0"/>
              <w:spacing w:after="0" w:line="240" w:lineRule="auto"/>
              <w:jc w:val="center"/>
              <w:rPr>
                <w:b/>
                <w:sz w:val="20"/>
                <w:szCs w:val="20"/>
              </w:rPr>
            </w:pPr>
            <w:r w:rsidRPr="00A270B0">
              <w:rPr>
                <w:b/>
                <w:sz w:val="20"/>
                <w:szCs w:val="20"/>
              </w:rPr>
              <w:t>Needs Addressed</w:t>
            </w:r>
          </w:p>
        </w:tc>
        <w:tc>
          <w:tcPr>
            <w:tcW w:w="1213" w:type="dxa"/>
          </w:tcPr>
          <w:p w:rsidRPr="00A270B0" w:rsidR="00777D08" w:rsidRDefault="00211F76" w14:paraId="1BC90438" w14:textId="77777777">
            <w:pPr>
              <w:keepNext/>
              <w:widowControl w:val="0"/>
              <w:spacing w:after="0" w:line="240" w:lineRule="auto"/>
              <w:jc w:val="center"/>
              <w:rPr>
                <w:b/>
                <w:sz w:val="20"/>
                <w:szCs w:val="20"/>
              </w:rPr>
            </w:pPr>
            <w:r w:rsidRPr="00A270B0">
              <w:rPr>
                <w:b/>
                <w:sz w:val="20"/>
                <w:szCs w:val="20"/>
              </w:rPr>
              <w:t>Funding</w:t>
            </w:r>
          </w:p>
        </w:tc>
        <w:tc>
          <w:tcPr>
            <w:tcW w:w="2246" w:type="dxa"/>
          </w:tcPr>
          <w:p w:rsidRPr="00A270B0" w:rsidR="00777D08" w:rsidRDefault="00211F76" w14:paraId="09B38D19" w14:textId="77777777">
            <w:pPr>
              <w:keepNext/>
              <w:widowControl w:val="0"/>
              <w:spacing w:after="0" w:line="240" w:lineRule="auto"/>
              <w:jc w:val="center"/>
              <w:rPr>
                <w:b/>
                <w:sz w:val="20"/>
                <w:szCs w:val="20"/>
              </w:rPr>
            </w:pPr>
            <w:r w:rsidRPr="00A270B0">
              <w:rPr>
                <w:b/>
                <w:sz w:val="20"/>
                <w:szCs w:val="20"/>
              </w:rPr>
              <w:t>Goal Outcome Indicator</w:t>
            </w:r>
          </w:p>
        </w:tc>
      </w:tr>
      <w:tr w:rsidRPr="00ED22E1" w:rsidR="00D72BE4" w:rsidTr="00A4391D" w14:paraId="0FCC2519" w14:textId="77777777">
        <w:trPr>
          <w:cantSplit/>
        </w:trPr>
        <w:tc>
          <w:tcPr>
            <w:tcW w:w="720" w:type="dxa"/>
          </w:tcPr>
          <w:p w:rsidRPr="00817753" w:rsidR="00777D08" w:rsidRDefault="00211F76" w14:paraId="406266E6" w14:textId="77777777">
            <w:pPr>
              <w:spacing w:beforeAutospacing="1" w:afterAutospacing="1"/>
            </w:pPr>
            <w:r w:rsidRPr="00817753">
              <w:rPr>
                <w:b/>
                <w:color w:val="000000"/>
              </w:rPr>
              <w:t>1</w:t>
            </w:r>
          </w:p>
        </w:tc>
        <w:tc>
          <w:tcPr>
            <w:tcW w:w="1260" w:type="dxa"/>
          </w:tcPr>
          <w:p w:rsidRPr="00817753" w:rsidR="00777D08" w:rsidRDefault="00211F76" w14:paraId="1A125A27" w14:textId="77777777">
            <w:pPr>
              <w:spacing w:beforeAutospacing="1" w:afterAutospacing="1"/>
            </w:pPr>
            <w:r w:rsidRPr="00817753">
              <w:rPr>
                <w:color w:val="000000"/>
              </w:rPr>
              <w:t>DH 2.1 Acquire/Rehab - Rental or Owner Units</w:t>
            </w:r>
          </w:p>
        </w:tc>
        <w:tc>
          <w:tcPr>
            <w:tcW w:w="540" w:type="dxa"/>
          </w:tcPr>
          <w:p w:rsidRPr="00817753" w:rsidR="00777D08" w:rsidRDefault="00211F76" w14:paraId="4D19406A" w14:textId="77777777">
            <w:pPr>
              <w:spacing w:beforeAutospacing="1" w:afterAutospacing="1"/>
              <w:jc w:val="right"/>
            </w:pPr>
            <w:r w:rsidRPr="00817753">
              <w:rPr>
                <w:color w:val="000000"/>
              </w:rPr>
              <w:t>2018</w:t>
            </w:r>
          </w:p>
        </w:tc>
        <w:tc>
          <w:tcPr>
            <w:tcW w:w="720" w:type="dxa"/>
          </w:tcPr>
          <w:p w:rsidRPr="00817753" w:rsidR="00777D08" w:rsidRDefault="00211F76" w14:paraId="5CC90FD4" w14:textId="77777777">
            <w:pPr>
              <w:spacing w:beforeAutospacing="1" w:afterAutospacing="1"/>
              <w:jc w:val="right"/>
            </w:pPr>
            <w:r w:rsidRPr="00817753">
              <w:rPr>
                <w:color w:val="000000"/>
              </w:rPr>
              <w:t>2022</w:t>
            </w:r>
          </w:p>
        </w:tc>
        <w:tc>
          <w:tcPr>
            <w:tcW w:w="990" w:type="dxa"/>
          </w:tcPr>
          <w:p w:rsidRPr="00817753" w:rsidR="00777D08" w:rsidRDefault="00211F76" w14:paraId="28711262" w14:textId="77777777">
            <w:pPr>
              <w:spacing w:beforeAutospacing="1" w:afterAutospacing="1"/>
            </w:pPr>
            <w:r w:rsidRPr="00817753">
              <w:rPr>
                <w:color w:val="000000"/>
              </w:rPr>
              <w:t>Affordable Housing</w:t>
            </w:r>
          </w:p>
        </w:tc>
        <w:tc>
          <w:tcPr>
            <w:tcW w:w="1153" w:type="dxa"/>
          </w:tcPr>
          <w:p w:rsidRPr="00817753" w:rsidR="00777D08" w:rsidRDefault="00211F76" w14:paraId="14DAEF54" w14:textId="77777777">
            <w:pPr>
              <w:spacing w:beforeAutospacing="1" w:afterAutospacing="1"/>
            </w:pPr>
            <w:r w:rsidRPr="00817753">
              <w:rPr>
                <w:color w:val="000000"/>
              </w:rPr>
              <w:t>NEIGHBORHOOD REVITALIZATION STRATEGY AREA</w:t>
            </w:r>
          </w:p>
        </w:tc>
        <w:tc>
          <w:tcPr>
            <w:tcW w:w="1684" w:type="dxa"/>
            <w:shd w:val="clear" w:color="auto" w:fill="auto"/>
          </w:tcPr>
          <w:p w:rsidRPr="00A4391D" w:rsidR="00777D08" w:rsidRDefault="00211F76" w14:paraId="2E1C260F" w14:textId="77777777">
            <w:pPr>
              <w:spacing w:beforeAutospacing="1" w:afterAutospacing="1"/>
            </w:pPr>
            <w:r w:rsidRPr="00A4391D">
              <w:rPr>
                <w:color w:val="000000"/>
              </w:rPr>
              <w:t>AFH - Maintain or Preserve Affordable Housing</w:t>
            </w:r>
          </w:p>
        </w:tc>
        <w:tc>
          <w:tcPr>
            <w:tcW w:w="1213" w:type="dxa"/>
            <w:shd w:val="clear" w:color="auto" w:fill="auto"/>
          </w:tcPr>
          <w:p w:rsidRPr="00A4391D" w:rsidR="00777D08" w:rsidP="00425860" w:rsidRDefault="00211F76" w14:paraId="08ECDE4D" w14:textId="32E52F0E">
            <w:pPr>
              <w:spacing w:beforeAutospacing="1" w:afterAutospacing="1"/>
              <w:jc w:val="right"/>
              <w:rPr>
                <w:color w:val="000000"/>
              </w:rPr>
            </w:pPr>
            <w:r w:rsidRPr="00A4391D">
              <w:rPr>
                <w:color w:val="000000"/>
              </w:rPr>
              <w:t>CDBG: $</w:t>
            </w:r>
            <w:r w:rsidRPr="00A4391D" w:rsidR="00EF1A90">
              <w:rPr>
                <w:color w:val="000000"/>
              </w:rPr>
              <w:t>288,000</w:t>
            </w:r>
          </w:p>
        </w:tc>
        <w:tc>
          <w:tcPr>
            <w:tcW w:w="2246" w:type="dxa"/>
            <w:shd w:val="clear" w:color="auto" w:fill="auto"/>
          </w:tcPr>
          <w:p w:rsidRPr="00A4391D" w:rsidR="00777D08" w:rsidRDefault="00211F76" w14:paraId="0218E314" w14:textId="2333EAB1">
            <w:pPr>
              <w:spacing w:beforeAutospacing="1" w:afterAutospacing="1"/>
            </w:pPr>
            <w:r w:rsidRPr="00A4391D">
              <w:rPr>
                <w:color w:val="000000"/>
              </w:rPr>
              <w:t xml:space="preserve">Rental units rehabilitated: </w:t>
            </w:r>
            <w:r w:rsidRPr="00A4391D" w:rsidR="00EF1A90">
              <w:rPr>
                <w:color w:val="000000"/>
              </w:rPr>
              <w:t>34</w:t>
            </w:r>
            <w:r w:rsidRPr="00A4391D">
              <w:rPr>
                <w:color w:val="000000"/>
              </w:rPr>
              <w:br/>
            </w:r>
            <w:r w:rsidRPr="00A4391D">
              <w:rPr>
                <w:color w:val="000000"/>
              </w:rPr>
              <w:t xml:space="preserve">Homeowner Housing Rehabilitated: </w:t>
            </w:r>
            <w:r w:rsidRPr="00A4391D" w:rsidR="00EF1A90">
              <w:rPr>
                <w:color w:val="000000"/>
              </w:rPr>
              <w:t>2</w:t>
            </w:r>
            <w:r w:rsidRPr="00A4391D">
              <w:rPr>
                <w:color w:val="000000"/>
              </w:rPr>
              <w:t xml:space="preserve"> Household Housing Unit</w:t>
            </w:r>
            <w:r w:rsidRPr="00A4391D" w:rsidR="00EF1A90">
              <w:rPr>
                <w:color w:val="000000"/>
              </w:rPr>
              <w:t xml:space="preserve">: </w:t>
            </w:r>
          </w:p>
        </w:tc>
      </w:tr>
      <w:tr w:rsidRPr="00ED22E1" w:rsidR="00D72BE4" w:rsidTr="00EF1A90" w14:paraId="7D6069B9" w14:textId="77777777">
        <w:trPr>
          <w:cantSplit/>
        </w:trPr>
        <w:tc>
          <w:tcPr>
            <w:tcW w:w="720" w:type="dxa"/>
          </w:tcPr>
          <w:p w:rsidRPr="00CA7978" w:rsidR="00777D08" w:rsidRDefault="00211F76" w14:paraId="25B7F7B8" w14:textId="77777777">
            <w:pPr>
              <w:spacing w:beforeAutospacing="1" w:afterAutospacing="1"/>
            </w:pPr>
            <w:r w:rsidRPr="00CA7978">
              <w:rPr>
                <w:b/>
                <w:color w:val="000000"/>
              </w:rPr>
              <w:t>2</w:t>
            </w:r>
          </w:p>
        </w:tc>
        <w:tc>
          <w:tcPr>
            <w:tcW w:w="1260" w:type="dxa"/>
          </w:tcPr>
          <w:p w:rsidRPr="00CA7978" w:rsidR="00777D08" w:rsidRDefault="00211F76" w14:paraId="1DA70AD6" w14:textId="77777777">
            <w:pPr>
              <w:spacing w:beforeAutospacing="1" w:afterAutospacing="1"/>
            </w:pPr>
            <w:r w:rsidRPr="00CA7978">
              <w:rPr>
                <w:color w:val="000000"/>
              </w:rPr>
              <w:t>DH 1.4 Promote new homeownership buyer assist</w:t>
            </w:r>
          </w:p>
        </w:tc>
        <w:tc>
          <w:tcPr>
            <w:tcW w:w="540" w:type="dxa"/>
          </w:tcPr>
          <w:p w:rsidRPr="00CA7978" w:rsidR="00777D08" w:rsidRDefault="00211F76" w14:paraId="2C57880A" w14:textId="77777777">
            <w:pPr>
              <w:spacing w:beforeAutospacing="1" w:afterAutospacing="1"/>
              <w:jc w:val="right"/>
            </w:pPr>
            <w:r w:rsidRPr="00CA7978">
              <w:rPr>
                <w:color w:val="000000"/>
              </w:rPr>
              <w:t>2018</w:t>
            </w:r>
          </w:p>
        </w:tc>
        <w:tc>
          <w:tcPr>
            <w:tcW w:w="720" w:type="dxa"/>
          </w:tcPr>
          <w:p w:rsidRPr="00CA7978" w:rsidR="00777D08" w:rsidRDefault="00211F76" w14:paraId="350AA85F" w14:textId="77777777">
            <w:pPr>
              <w:spacing w:beforeAutospacing="1" w:afterAutospacing="1"/>
              <w:jc w:val="right"/>
            </w:pPr>
            <w:r w:rsidRPr="00CA7978">
              <w:rPr>
                <w:color w:val="000000"/>
              </w:rPr>
              <w:t>2022</w:t>
            </w:r>
          </w:p>
        </w:tc>
        <w:tc>
          <w:tcPr>
            <w:tcW w:w="990" w:type="dxa"/>
          </w:tcPr>
          <w:p w:rsidRPr="00CA7978" w:rsidR="00777D08" w:rsidRDefault="00211F76" w14:paraId="74EA1BF3" w14:textId="77777777">
            <w:pPr>
              <w:spacing w:beforeAutospacing="1" w:afterAutospacing="1"/>
            </w:pPr>
            <w:r w:rsidRPr="00CA7978">
              <w:rPr>
                <w:color w:val="000000"/>
              </w:rPr>
              <w:t>Affordable Housing</w:t>
            </w:r>
          </w:p>
        </w:tc>
        <w:tc>
          <w:tcPr>
            <w:tcW w:w="1153" w:type="dxa"/>
          </w:tcPr>
          <w:p w:rsidRPr="00CA7978" w:rsidR="00777D08" w:rsidRDefault="00211F76" w14:paraId="543F3881" w14:textId="77777777">
            <w:pPr>
              <w:spacing w:beforeAutospacing="1" w:afterAutospacing="1"/>
            </w:pPr>
            <w:r w:rsidRPr="00CA7978">
              <w:rPr>
                <w:color w:val="000000"/>
              </w:rPr>
              <w:t>City-Wide</w:t>
            </w:r>
          </w:p>
        </w:tc>
        <w:tc>
          <w:tcPr>
            <w:tcW w:w="1684" w:type="dxa"/>
          </w:tcPr>
          <w:p w:rsidRPr="00CA7978" w:rsidR="00777D08" w:rsidRDefault="00211F76" w14:paraId="18679730" w14:textId="77777777">
            <w:pPr>
              <w:spacing w:beforeAutospacing="1" w:afterAutospacing="1"/>
            </w:pPr>
            <w:r w:rsidRPr="00CA7978">
              <w:rPr>
                <w:color w:val="000000"/>
              </w:rPr>
              <w:t>AFH -Housing Resources to LMI residents, homeowner</w:t>
            </w:r>
          </w:p>
        </w:tc>
        <w:tc>
          <w:tcPr>
            <w:tcW w:w="1213" w:type="dxa"/>
            <w:shd w:val="clear" w:color="auto" w:fill="auto"/>
          </w:tcPr>
          <w:p w:rsidRPr="00CA7978" w:rsidR="00777D08" w:rsidRDefault="00211F76" w14:paraId="591FDC9C" w14:textId="77777777">
            <w:pPr>
              <w:spacing w:beforeAutospacing="1" w:afterAutospacing="1"/>
              <w:jc w:val="right"/>
            </w:pPr>
            <w:r w:rsidRPr="00CA7978">
              <w:rPr>
                <w:color w:val="000000"/>
              </w:rPr>
              <w:t>CDBG: $0</w:t>
            </w:r>
            <w:r w:rsidRPr="00CA7978">
              <w:rPr>
                <w:color w:val="000000"/>
              </w:rPr>
              <w:br/>
            </w:r>
            <w:r w:rsidRPr="00CA7978">
              <w:rPr>
                <w:color w:val="000000"/>
              </w:rPr>
              <w:t>HOME: $0</w:t>
            </w:r>
          </w:p>
        </w:tc>
        <w:tc>
          <w:tcPr>
            <w:tcW w:w="2246" w:type="dxa"/>
            <w:shd w:val="clear" w:color="auto" w:fill="auto"/>
          </w:tcPr>
          <w:p w:rsidRPr="00CA7978" w:rsidR="00777D08" w:rsidRDefault="00211F76" w14:paraId="365F3426" w14:textId="77777777">
            <w:pPr>
              <w:spacing w:beforeAutospacing="1" w:afterAutospacing="1"/>
            </w:pPr>
            <w:r w:rsidRPr="00CA7978">
              <w:rPr>
                <w:color w:val="000000"/>
              </w:rPr>
              <w:t>Direct Financial Assistance to Homebuyers: 5 Households Assisted</w:t>
            </w:r>
          </w:p>
        </w:tc>
      </w:tr>
      <w:tr w:rsidRPr="00ED22E1" w:rsidR="00D72BE4" w:rsidTr="00EF1A90" w14:paraId="55CB8FE7" w14:textId="77777777">
        <w:trPr>
          <w:cantSplit/>
        </w:trPr>
        <w:tc>
          <w:tcPr>
            <w:tcW w:w="720" w:type="dxa"/>
            <w:shd w:val="clear" w:color="auto" w:fill="auto"/>
          </w:tcPr>
          <w:p w:rsidRPr="00066548" w:rsidR="00777D08" w:rsidRDefault="00211F76" w14:paraId="76C4C8D4" w14:textId="77777777">
            <w:pPr>
              <w:spacing w:beforeAutospacing="1" w:afterAutospacing="1"/>
            </w:pPr>
            <w:r w:rsidRPr="00066548">
              <w:rPr>
                <w:b/>
                <w:color w:val="000000"/>
              </w:rPr>
              <w:t>3</w:t>
            </w:r>
          </w:p>
        </w:tc>
        <w:tc>
          <w:tcPr>
            <w:tcW w:w="1260" w:type="dxa"/>
            <w:shd w:val="clear" w:color="auto" w:fill="auto"/>
          </w:tcPr>
          <w:p w:rsidRPr="00066548" w:rsidR="00777D08" w:rsidRDefault="00211F76" w14:paraId="76595922" w14:textId="77777777">
            <w:pPr>
              <w:spacing w:beforeAutospacing="1" w:afterAutospacing="1"/>
            </w:pPr>
            <w:r w:rsidRPr="00066548">
              <w:rPr>
                <w:color w:val="000000"/>
              </w:rPr>
              <w:t>DH 2.2 Protect the Vulnerable - Lead Hazard</w:t>
            </w:r>
          </w:p>
        </w:tc>
        <w:tc>
          <w:tcPr>
            <w:tcW w:w="540" w:type="dxa"/>
            <w:shd w:val="clear" w:color="auto" w:fill="auto"/>
          </w:tcPr>
          <w:p w:rsidRPr="00066548" w:rsidR="00777D08" w:rsidRDefault="00211F76" w14:paraId="5CBD71C0" w14:textId="77777777">
            <w:pPr>
              <w:spacing w:beforeAutospacing="1" w:afterAutospacing="1"/>
              <w:jc w:val="right"/>
            </w:pPr>
            <w:r w:rsidRPr="00066548">
              <w:rPr>
                <w:color w:val="000000"/>
              </w:rPr>
              <w:t>2018</w:t>
            </w:r>
          </w:p>
        </w:tc>
        <w:tc>
          <w:tcPr>
            <w:tcW w:w="720" w:type="dxa"/>
            <w:shd w:val="clear" w:color="auto" w:fill="auto"/>
          </w:tcPr>
          <w:p w:rsidRPr="00066548" w:rsidR="00777D08" w:rsidRDefault="00211F76" w14:paraId="6AC1AB17" w14:textId="77777777">
            <w:pPr>
              <w:spacing w:beforeAutospacing="1" w:afterAutospacing="1"/>
              <w:jc w:val="right"/>
            </w:pPr>
            <w:r w:rsidRPr="00066548">
              <w:rPr>
                <w:color w:val="000000"/>
              </w:rPr>
              <w:t>2022</w:t>
            </w:r>
          </w:p>
        </w:tc>
        <w:tc>
          <w:tcPr>
            <w:tcW w:w="990" w:type="dxa"/>
            <w:shd w:val="clear" w:color="auto" w:fill="auto"/>
          </w:tcPr>
          <w:p w:rsidRPr="00066548" w:rsidR="00777D08" w:rsidRDefault="00211F76" w14:paraId="22CD711E" w14:textId="77777777">
            <w:pPr>
              <w:spacing w:beforeAutospacing="1" w:afterAutospacing="1"/>
            </w:pPr>
            <w:r w:rsidRPr="00066548">
              <w:rPr>
                <w:color w:val="000000"/>
              </w:rPr>
              <w:t>Affordable Housing</w:t>
            </w:r>
          </w:p>
        </w:tc>
        <w:tc>
          <w:tcPr>
            <w:tcW w:w="1153" w:type="dxa"/>
            <w:shd w:val="clear" w:color="auto" w:fill="auto"/>
          </w:tcPr>
          <w:p w:rsidRPr="00066548" w:rsidR="00777D08" w:rsidRDefault="00211F76" w14:paraId="3E79449F" w14:textId="77777777">
            <w:pPr>
              <w:spacing w:beforeAutospacing="1" w:afterAutospacing="1"/>
            </w:pPr>
            <w:r w:rsidRPr="00066548">
              <w:rPr>
                <w:color w:val="000000"/>
              </w:rPr>
              <w:t>NEIGHBORHOOD REVITALIZATION STRATEGY AREA</w:t>
            </w:r>
          </w:p>
        </w:tc>
        <w:tc>
          <w:tcPr>
            <w:tcW w:w="1684" w:type="dxa"/>
            <w:shd w:val="clear" w:color="auto" w:fill="auto"/>
          </w:tcPr>
          <w:p w:rsidRPr="00066548" w:rsidR="00777D08" w:rsidRDefault="00211F76" w14:paraId="4D4A4E7E" w14:textId="77777777">
            <w:pPr>
              <w:spacing w:beforeAutospacing="1" w:afterAutospacing="1"/>
            </w:pPr>
            <w:r w:rsidRPr="00066548">
              <w:rPr>
                <w:color w:val="000000"/>
              </w:rPr>
              <w:t>AFH - Maintain or Preserve Affordable Housing</w:t>
            </w:r>
            <w:r w:rsidRPr="00066548">
              <w:rPr>
                <w:color w:val="000000"/>
              </w:rPr>
              <w:br/>
            </w:r>
            <w:r w:rsidRPr="00066548">
              <w:rPr>
                <w:color w:val="000000"/>
              </w:rPr>
              <w:t>AFH -Housing Resources to LMI residents, homeowner</w:t>
            </w:r>
          </w:p>
        </w:tc>
        <w:tc>
          <w:tcPr>
            <w:tcW w:w="1213" w:type="dxa"/>
          </w:tcPr>
          <w:p w:rsidRPr="00066548" w:rsidR="00777D08" w:rsidRDefault="00211F76" w14:paraId="64F36226" w14:textId="7D12D93C">
            <w:pPr>
              <w:spacing w:beforeAutospacing="1" w:afterAutospacing="1"/>
              <w:jc w:val="right"/>
              <w:rPr>
                <w:color w:val="000000"/>
              </w:rPr>
            </w:pPr>
            <w:r w:rsidRPr="00066548">
              <w:rPr>
                <w:color w:val="000000"/>
              </w:rPr>
              <w:t xml:space="preserve">CDBG: </w:t>
            </w:r>
            <w:r w:rsidRPr="00066548" w:rsidR="00165CF9">
              <w:rPr>
                <w:color w:val="000000"/>
              </w:rPr>
              <w:t>$</w:t>
            </w:r>
            <w:r w:rsidRPr="00066548" w:rsidR="00066548">
              <w:rPr>
                <w:color w:val="000000"/>
              </w:rPr>
              <w:t>0</w:t>
            </w:r>
          </w:p>
          <w:p w:rsidRPr="00ED22E1" w:rsidR="005A5CF7" w:rsidRDefault="005A5CF7" w14:paraId="36B22399" w14:textId="7DB84062">
            <w:pPr>
              <w:spacing w:beforeAutospacing="1" w:afterAutospacing="1"/>
              <w:jc w:val="right"/>
              <w:rPr>
                <w:highlight w:val="lightGray"/>
              </w:rPr>
            </w:pPr>
            <w:r w:rsidRPr="00066548">
              <w:rPr>
                <w:color w:val="000000"/>
              </w:rPr>
              <w:t>HOME: $0</w:t>
            </w:r>
          </w:p>
        </w:tc>
        <w:tc>
          <w:tcPr>
            <w:tcW w:w="2246" w:type="dxa"/>
          </w:tcPr>
          <w:p w:rsidRPr="00393130" w:rsidR="00FA6AEC" w:rsidRDefault="00FA6AEC" w14:paraId="6917653C" w14:textId="4D41EC18">
            <w:pPr>
              <w:spacing w:beforeAutospacing="1" w:afterAutospacing="1"/>
              <w:rPr>
                <w:color w:val="000000"/>
              </w:rPr>
            </w:pPr>
            <w:r w:rsidRPr="00393130">
              <w:rPr>
                <w:color w:val="000000"/>
              </w:rPr>
              <w:t xml:space="preserve">Rental units rehabilitated: </w:t>
            </w:r>
            <w:r w:rsidRPr="00393130" w:rsidR="00393130">
              <w:rPr>
                <w:color w:val="000000"/>
              </w:rPr>
              <w:t>40</w:t>
            </w:r>
            <w:r w:rsidRPr="00393130">
              <w:rPr>
                <w:color w:val="000000"/>
              </w:rPr>
              <w:t xml:space="preserve"> Household Housing Unit</w:t>
            </w:r>
          </w:p>
          <w:p w:rsidRPr="00393130" w:rsidR="00FA6AEC" w:rsidRDefault="00FA6AEC" w14:paraId="6B0C66AB" w14:textId="48707C59">
            <w:pPr>
              <w:spacing w:beforeAutospacing="1" w:afterAutospacing="1"/>
              <w:rPr>
                <w:color w:val="000000"/>
              </w:rPr>
            </w:pPr>
            <w:r w:rsidRPr="00393130">
              <w:rPr>
                <w:color w:val="000000"/>
              </w:rPr>
              <w:t xml:space="preserve">Homeowner Housing Rehabilitated: </w:t>
            </w:r>
            <w:r w:rsidRPr="00393130" w:rsidR="00393130">
              <w:rPr>
                <w:color w:val="000000"/>
              </w:rPr>
              <w:t>4</w:t>
            </w:r>
            <w:r w:rsidRPr="00393130">
              <w:rPr>
                <w:color w:val="000000"/>
              </w:rPr>
              <w:t xml:space="preserve"> Household Housing Unit</w:t>
            </w:r>
          </w:p>
        </w:tc>
      </w:tr>
      <w:tr w:rsidRPr="00ED22E1" w:rsidR="00D72BE4" w:rsidTr="00EF1A90" w14:paraId="325B37DD" w14:textId="77777777">
        <w:trPr>
          <w:cantSplit/>
        </w:trPr>
        <w:tc>
          <w:tcPr>
            <w:tcW w:w="720" w:type="dxa"/>
          </w:tcPr>
          <w:p w:rsidRPr="00F84DA0" w:rsidR="00777D08" w:rsidP="00820576" w:rsidRDefault="00211F76" w14:paraId="7D5C6C67" w14:textId="106D7958">
            <w:pPr>
              <w:spacing w:before="100" w:beforeAutospacing="1" w:after="100" w:afterAutospacing="1"/>
            </w:pPr>
            <w:r w:rsidRPr="00F84DA0">
              <w:rPr>
                <w:b/>
                <w:color w:val="000000"/>
              </w:rPr>
              <w:t>4</w:t>
            </w:r>
          </w:p>
        </w:tc>
        <w:tc>
          <w:tcPr>
            <w:tcW w:w="1260" w:type="dxa"/>
          </w:tcPr>
          <w:p w:rsidRPr="00F84DA0" w:rsidR="00777D08" w:rsidP="00820576" w:rsidRDefault="00211F76" w14:paraId="5DB7A34D" w14:textId="1CC36E5C">
            <w:pPr>
              <w:spacing w:before="100" w:beforeAutospacing="1" w:after="100" w:afterAutospacing="1"/>
            </w:pPr>
            <w:r w:rsidRPr="00F84DA0">
              <w:rPr>
                <w:color w:val="000000"/>
              </w:rPr>
              <w:t>DH 1.1 Protect the Vulnerable - New Perm Supp Hous</w:t>
            </w:r>
          </w:p>
        </w:tc>
        <w:tc>
          <w:tcPr>
            <w:tcW w:w="540" w:type="dxa"/>
          </w:tcPr>
          <w:p w:rsidRPr="00F84DA0" w:rsidR="00777D08" w:rsidP="00820576" w:rsidRDefault="00211F76" w14:paraId="6900B2C9" w14:textId="5EE89C5C">
            <w:pPr>
              <w:spacing w:before="100" w:beforeAutospacing="1" w:after="100" w:afterAutospacing="1"/>
              <w:jc w:val="right"/>
            </w:pPr>
            <w:r w:rsidRPr="00F84DA0">
              <w:rPr>
                <w:color w:val="000000"/>
              </w:rPr>
              <w:t>2018</w:t>
            </w:r>
          </w:p>
        </w:tc>
        <w:tc>
          <w:tcPr>
            <w:tcW w:w="720" w:type="dxa"/>
          </w:tcPr>
          <w:p w:rsidRPr="00F84DA0" w:rsidR="00777D08" w:rsidP="00820576" w:rsidRDefault="00211F76" w14:paraId="5AD7C5D9" w14:textId="37FC2372">
            <w:pPr>
              <w:spacing w:before="100" w:beforeAutospacing="1" w:after="100" w:afterAutospacing="1"/>
              <w:jc w:val="right"/>
            </w:pPr>
            <w:r w:rsidRPr="00F84DA0">
              <w:rPr>
                <w:color w:val="000000"/>
              </w:rPr>
              <w:t>2022</w:t>
            </w:r>
          </w:p>
        </w:tc>
        <w:tc>
          <w:tcPr>
            <w:tcW w:w="990" w:type="dxa"/>
          </w:tcPr>
          <w:p w:rsidRPr="00F84DA0" w:rsidR="00777D08" w:rsidP="00820576" w:rsidRDefault="00211F76" w14:paraId="22CE0733" w14:textId="0D029ADF">
            <w:pPr>
              <w:spacing w:before="100" w:beforeAutospacing="1" w:after="100" w:afterAutospacing="1"/>
            </w:pPr>
            <w:r w:rsidRPr="00F84DA0">
              <w:rPr>
                <w:color w:val="000000"/>
              </w:rPr>
              <w:t>Affordable Housing</w:t>
            </w:r>
            <w:r w:rsidRPr="00F84DA0">
              <w:rPr>
                <w:color w:val="000000"/>
              </w:rPr>
              <w:br/>
            </w:r>
            <w:r w:rsidRPr="00F84DA0">
              <w:rPr>
                <w:color w:val="000000"/>
              </w:rPr>
              <w:t>Homeless</w:t>
            </w:r>
          </w:p>
        </w:tc>
        <w:tc>
          <w:tcPr>
            <w:tcW w:w="1153" w:type="dxa"/>
          </w:tcPr>
          <w:p w:rsidRPr="00F84DA0" w:rsidR="00777D08" w:rsidP="00820576" w:rsidRDefault="00211F76" w14:paraId="54F7028C" w14:textId="5D4A78A1">
            <w:pPr>
              <w:spacing w:before="100" w:beforeAutospacing="1" w:after="100" w:afterAutospacing="1"/>
            </w:pPr>
            <w:r w:rsidRPr="00F84DA0">
              <w:rPr>
                <w:color w:val="000000"/>
              </w:rPr>
              <w:t>City-Wide</w:t>
            </w:r>
          </w:p>
        </w:tc>
        <w:tc>
          <w:tcPr>
            <w:tcW w:w="1684" w:type="dxa"/>
          </w:tcPr>
          <w:p w:rsidRPr="00F84DA0" w:rsidR="00777D08" w:rsidP="00820576" w:rsidRDefault="00211F76" w14:paraId="23299897" w14:textId="4620397E">
            <w:pPr>
              <w:spacing w:before="100" w:beforeAutospacing="1" w:after="100" w:afterAutospacing="1"/>
            </w:pPr>
            <w:r w:rsidRPr="00F84DA0">
              <w:rPr>
                <w:color w:val="000000"/>
              </w:rPr>
              <w:t>AFH - Increase Affordable Housing Opportunities</w:t>
            </w:r>
          </w:p>
        </w:tc>
        <w:tc>
          <w:tcPr>
            <w:tcW w:w="1213" w:type="dxa"/>
          </w:tcPr>
          <w:p w:rsidRPr="00F84DA0" w:rsidR="00777D08" w:rsidP="00643344" w:rsidRDefault="00211F76" w14:paraId="0DCFA9A2" w14:textId="26D505B0">
            <w:pPr>
              <w:spacing w:before="100" w:beforeAutospacing="1" w:after="100" w:afterAutospacing="1"/>
              <w:jc w:val="right"/>
            </w:pPr>
            <w:r w:rsidRPr="00F84DA0">
              <w:rPr>
                <w:color w:val="000000"/>
              </w:rPr>
              <w:t>CDBG: $</w:t>
            </w:r>
            <w:r w:rsidRPr="00F84DA0" w:rsidR="00F84DA0">
              <w:rPr>
                <w:color w:val="000000"/>
              </w:rPr>
              <w:t>0</w:t>
            </w:r>
            <w:r w:rsidRPr="00F84DA0">
              <w:rPr>
                <w:color w:val="000000"/>
              </w:rPr>
              <w:br/>
            </w:r>
            <w:r w:rsidRPr="00F84DA0">
              <w:rPr>
                <w:color w:val="000000"/>
              </w:rPr>
              <w:t>HOME: $0</w:t>
            </w:r>
          </w:p>
        </w:tc>
        <w:tc>
          <w:tcPr>
            <w:tcW w:w="2246" w:type="dxa"/>
          </w:tcPr>
          <w:p w:rsidRPr="00F84DA0" w:rsidR="00777D08" w:rsidP="005A5CF7" w:rsidRDefault="00211F76" w14:paraId="72AB57FB" w14:textId="5FB2DEE0">
            <w:pPr>
              <w:spacing w:before="100" w:beforeAutospacing="1" w:after="100" w:afterAutospacing="1"/>
            </w:pPr>
            <w:r w:rsidRPr="00F84DA0">
              <w:rPr>
                <w:color w:val="000000"/>
              </w:rPr>
              <w:t>Housing for Homeless added:</w:t>
            </w:r>
            <w:r w:rsidRPr="00F84DA0" w:rsidR="005A5CF7">
              <w:rPr>
                <w:color w:val="000000"/>
              </w:rPr>
              <w:t xml:space="preserve"> </w:t>
            </w:r>
            <w:r w:rsidRPr="00F84DA0" w:rsidR="00F84DA0">
              <w:rPr>
                <w:color w:val="000000"/>
              </w:rPr>
              <w:t>0</w:t>
            </w:r>
            <w:r w:rsidRPr="00F84DA0" w:rsidR="005A5CF7">
              <w:rPr>
                <w:color w:val="000000"/>
              </w:rPr>
              <w:t xml:space="preserve"> Household Unit</w:t>
            </w:r>
          </w:p>
        </w:tc>
      </w:tr>
      <w:tr w:rsidRPr="00ED22E1" w:rsidR="00D72BE4" w:rsidTr="00EF1A90" w14:paraId="5E134F3E" w14:textId="77777777">
        <w:trPr>
          <w:cantSplit/>
        </w:trPr>
        <w:tc>
          <w:tcPr>
            <w:tcW w:w="720" w:type="dxa"/>
          </w:tcPr>
          <w:p w:rsidRPr="001D5281" w:rsidR="00777D08" w:rsidRDefault="00211F76" w14:paraId="707AE08A" w14:textId="1424F1E2">
            <w:pPr>
              <w:spacing w:beforeAutospacing="1" w:afterAutospacing="1"/>
            </w:pPr>
            <w:r w:rsidRPr="001D5281">
              <w:rPr>
                <w:b/>
                <w:color w:val="000000"/>
              </w:rPr>
              <w:lastRenderedPageBreak/>
              <w:t>5</w:t>
            </w:r>
          </w:p>
        </w:tc>
        <w:tc>
          <w:tcPr>
            <w:tcW w:w="1260" w:type="dxa"/>
          </w:tcPr>
          <w:p w:rsidRPr="00EE7E31" w:rsidR="00777D08" w:rsidRDefault="00211F76" w14:paraId="3505045F" w14:textId="4A43551C">
            <w:pPr>
              <w:spacing w:beforeAutospacing="1" w:afterAutospacing="1"/>
            </w:pPr>
            <w:r w:rsidRPr="00EE7E31">
              <w:rPr>
                <w:color w:val="000000"/>
              </w:rPr>
              <w:t>DH1.2 Protect the Vulnerable New Special Need Hsng</w:t>
            </w:r>
          </w:p>
        </w:tc>
        <w:tc>
          <w:tcPr>
            <w:tcW w:w="540" w:type="dxa"/>
          </w:tcPr>
          <w:p w:rsidRPr="00EE7E31" w:rsidR="00777D08" w:rsidRDefault="00211F76" w14:paraId="1C857C44" w14:textId="54B54C77">
            <w:pPr>
              <w:spacing w:beforeAutospacing="1" w:afterAutospacing="1"/>
              <w:jc w:val="right"/>
            </w:pPr>
            <w:r w:rsidRPr="00EE7E31">
              <w:rPr>
                <w:color w:val="000000"/>
              </w:rPr>
              <w:t>2018</w:t>
            </w:r>
          </w:p>
        </w:tc>
        <w:tc>
          <w:tcPr>
            <w:tcW w:w="720" w:type="dxa"/>
          </w:tcPr>
          <w:p w:rsidRPr="00EE7E31" w:rsidR="00777D08" w:rsidRDefault="00211F76" w14:paraId="47FD08AE" w14:textId="189985F8">
            <w:pPr>
              <w:spacing w:beforeAutospacing="1" w:afterAutospacing="1"/>
              <w:jc w:val="right"/>
            </w:pPr>
            <w:r w:rsidRPr="00EE7E31">
              <w:rPr>
                <w:color w:val="000000"/>
              </w:rPr>
              <w:t>2022</w:t>
            </w:r>
          </w:p>
        </w:tc>
        <w:tc>
          <w:tcPr>
            <w:tcW w:w="990" w:type="dxa"/>
          </w:tcPr>
          <w:p w:rsidRPr="00EE7E31" w:rsidR="00777D08" w:rsidRDefault="00211F76" w14:paraId="5142DC18" w14:textId="079274DA">
            <w:pPr>
              <w:spacing w:beforeAutospacing="1" w:afterAutospacing="1"/>
            </w:pPr>
            <w:r w:rsidRPr="00EE7E31">
              <w:rPr>
                <w:color w:val="000000"/>
              </w:rPr>
              <w:t>Affordable Housing</w:t>
            </w:r>
            <w:r w:rsidRPr="00EE7E31">
              <w:rPr>
                <w:color w:val="000000"/>
              </w:rPr>
              <w:br/>
            </w:r>
            <w:r w:rsidRPr="00EE7E31">
              <w:rPr>
                <w:color w:val="000000"/>
              </w:rPr>
              <w:t>Non-Homeless Special Needs</w:t>
            </w:r>
          </w:p>
        </w:tc>
        <w:tc>
          <w:tcPr>
            <w:tcW w:w="1153" w:type="dxa"/>
          </w:tcPr>
          <w:p w:rsidRPr="00EE7E31" w:rsidR="00777D08" w:rsidRDefault="00211F76" w14:paraId="0D02593E" w14:textId="765720CE">
            <w:pPr>
              <w:spacing w:beforeAutospacing="1" w:afterAutospacing="1"/>
            </w:pPr>
            <w:r w:rsidRPr="00EE7E31">
              <w:rPr>
                <w:color w:val="000000"/>
              </w:rPr>
              <w:t>City-Wide</w:t>
            </w:r>
          </w:p>
        </w:tc>
        <w:tc>
          <w:tcPr>
            <w:tcW w:w="1684" w:type="dxa"/>
          </w:tcPr>
          <w:p w:rsidRPr="00EE7E31" w:rsidR="00777D08" w:rsidRDefault="00211F76" w14:paraId="2E264ECE" w14:textId="0FE59A24">
            <w:pPr>
              <w:spacing w:beforeAutospacing="1" w:afterAutospacing="1"/>
            </w:pPr>
            <w:r w:rsidRPr="00EE7E31">
              <w:rPr>
                <w:color w:val="000000"/>
              </w:rPr>
              <w:t>AFH - Increase Affordable Housing Opportunities</w:t>
            </w:r>
          </w:p>
        </w:tc>
        <w:tc>
          <w:tcPr>
            <w:tcW w:w="1213" w:type="dxa"/>
          </w:tcPr>
          <w:p w:rsidRPr="00EE7E31" w:rsidR="00777D08" w:rsidP="00AF5F64" w:rsidRDefault="00820576" w14:paraId="0EA9FFEB" w14:textId="27DCCD6E">
            <w:pPr>
              <w:spacing w:before="100" w:beforeAutospacing="1" w:after="100" w:afterAutospacing="1"/>
              <w:jc w:val="right"/>
            </w:pPr>
            <w:r w:rsidRPr="00EE7E31">
              <w:rPr>
                <w:color w:val="000000"/>
              </w:rPr>
              <w:t>CDBG: $</w:t>
            </w:r>
            <w:r w:rsidRPr="00EE7E31" w:rsidR="00507660">
              <w:rPr>
                <w:color w:val="000000"/>
              </w:rPr>
              <w:t>0</w:t>
            </w:r>
            <w:r w:rsidRPr="00EE7E31">
              <w:rPr>
                <w:color w:val="000000"/>
              </w:rPr>
              <w:br/>
            </w:r>
            <w:r w:rsidRPr="00EE7E31">
              <w:rPr>
                <w:color w:val="000000"/>
              </w:rPr>
              <w:t>HOME: $0</w:t>
            </w:r>
          </w:p>
        </w:tc>
        <w:tc>
          <w:tcPr>
            <w:tcW w:w="2246" w:type="dxa"/>
          </w:tcPr>
          <w:p w:rsidRPr="00507660" w:rsidR="00777D08" w:rsidRDefault="00820576" w14:paraId="2ACB8E00" w14:textId="26FA6B45">
            <w:pPr>
              <w:spacing w:beforeAutospacing="1" w:afterAutospacing="1"/>
            </w:pPr>
            <w:r w:rsidRPr="00EE7E31">
              <w:rPr>
                <w:color w:val="000000"/>
              </w:rPr>
              <w:t xml:space="preserve">Rental units constructed: </w:t>
            </w:r>
            <w:r w:rsidRPr="00EE7E31" w:rsidR="00507660">
              <w:rPr>
                <w:color w:val="000000"/>
              </w:rPr>
              <w:t xml:space="preserve">0 </w:t>
            </w:r>
            <w:r w:rsidRPr="00EE7E31" w:rsidR="00211F76">
              <w:rPr>
                <w:color w:val="000000"/>
              </w:rPr>
              <w:t>Household Housing Unit</w:t>
            </w:r>
          </w:p>
        </w:tc>
      </w:tr>
      <w:tr w:rsidRPr="00ED22E1" w:rsidR="00D72BE4" w:rsidTr="00A4391D" w14:paraId="50736B3D" w14:textId="77777777">
        <w:trPr>
          <w:cantSplit/>
        </w:trPr>
        <w:tc>
          <w:tcPr>
            <w:tcW w:w="720" w:type="dxa"/>
          </w:tcPr>
          <w:p w:rsidRPr="00E36BA2" w:rsidR="00777D08" w:rsidRDefault="00211F76" w14:paraId="25D3F509" w14:textId="77777777">
            <w:pPr>
              <w:spacing w:beforeAutospacing="1" w:afterAutospacing="1"/>
            </w:pPr>
            <w:bookmarkStart w:name="_Hlk68709419" w:id="5"/>
            <w:r w:rsidRPr="00E36BA2">
              <w:rPr>
                <w:b/>
                <w:color w:val="000000"/>
              </w:rPr>
              <w:t>6</w:t>
            </w:r>
          </w:p>
        </w:tc>
        <w:tc>
          <w:tcPr>
            <w:tcW w:w="1260" w:type="dxa"/>
          </w:tcPr>
          <w:p w:rsidRPr="00E36BA2" w:rsidR="00777D08" w:rsidRDefault="00211F76" w14:paraId="4F6C293E" w14:textId="77777777">
            <w:pPr>
              <w:spacing w:beforeAutospacing="1" w:afterAutospacing="1"/>
            </w:pPr>
            <w:r w:rsidRPr="00E36BA2">
              <w:rPr>
                <w:color w:val="000000"/>
              </w:rPr>
              <w:t>DH 1.3 Create New Affordable Housing</w:t>
            </w:r>
          </w:p>
        </w:tc>
        <w:tc>
          <w:tcPr>
            <w:tcW w:w="540" w:type="dxa"/>
          </w:tcPr>
          <w:p w:rsidRPr="00E36BA2" w:rsidR="00777D08" w:rsidRDefault="00211F76" w14:paraId="03771A9A" w14:textId="77777777">
            <w:pPr>
              <w:spacing w:beforeAutospacing="1" w:afterAutospacing="1"/>
              <w:jc w:val="right"/>
            </w:pPr>
            <w:r w:rsidRPr="00E36BA2">
              <w:rPr>
                <w:color w:val="000000"/>
              </w:rPr>
              <w:t>2018</w:t>
            </w:r>
          </w:p>
        </w:tc>
        <w:tc>
          <w:tcPr>
            <w:tcW w:w="720" w:type="dxa"/>
          </w:tcPr>
          <w:p w:rsidRPr="00E36BA2" w:rsidR="00777D08" w:rsidRDefault="00211F76" w14:paraId="0B4428B7" w14:textId="77777777">
            <w:pPr>
              <w:spacing w:beforeAutospacing="1" w:afterAutospacing="1"/>
              <w:jc w:val="right"/>
            </w:pPr>
            <w:r w:rsidRPr="00E36BA2">
              <w:rPr>
                <w:color w:val="000000"/>
              </w:rPr>
              <w:t>2022</w:t>
            </w:r>
          </w:p>
        </w:tc>
        <w:tc>
          <w:tcPr>
            <w:tcW w:w="990" w:type="dxa"/>
          </w:tcPr>
          <w:p w:rsidRPr="00E36BA2" w:rsidR="00777D08" w:rsidRDefault="00211F76" w14:paraId="50DAB2BF" w14:textId="77777777">
            <w:pPr>
              <w:spacing w:beforeAutospacing="1" w:afterAutospacing="1"/>
            </w:pPr>
            <w:r w:rsidRPr="00E36BA2">
              <w:rPr>
                <w:color w:val="000000"/>
              </w:rPr>
              <w:t>Affordable Housing</w:t>
            </w:r>
          </w:p>
        </w:tc>
        <w:tc>
          <w:tcPr>
            <w:tcW w:w="1153" w:type="dxa"/>
          </w:tcPr>
          <w:p w:rsidRPr="00E36BA2" w:rsidR="00777D08" w:rsidRDefault="00211F76" w14:paraId="7108210D" w14:textId="77777777">
            <w:pPr>
              <w:spacing w:beforeAutospacing="1" w:afterAutospacing="1"/>
            </w:pPr>
            <w:r w:rsidRPr="00E36BA2">
              <w:rPr>
                <w:color w:val="000000"/>
              </w:rPr>
              <w:t>City-Wide</w:t>
            </w:r>
          </w:p>
        </w:tc>
        <w:tc>
          <w:tcPr>
            <w:tcW w:w="1684" w:type="dxa"/>
            <w:shd w:val="clear" w:color="auto" w:fill="auto"/>
          </w:tcPr>
          <w:p w:rsidRPr="00E36BA2" w:rsidR="00777D08" w:rsidRDefault="00211F76" w14:paraId="5FE8DD7E" w14:textId="77777777">
            <w:pPr>
              <w:spacing w:beforeAutospacing="1" w:afterAutospacing="1"/>
            </w:pPr>
            <w:r w:rsidRPr="00E36BA2">
              <w:rPr>
                <w:color w:val="000000"/>
              </w:rPr>
              <w:t>AFH - Increase Affordable Housing Opportunities</w:t>
            </w:r>
          </w:p>
        </w:tc>
        <w:tc>
          <w:tcPr>
            <w:tcW w:w="1213" w:type="dxa"/>
            <w:shd w:val="clear" w:color="auto" w:fill="auto"/>
          </w:tcPr>
          <w:p w:rsidRPr="00A4391D" w:rsidR="00777D08" w:rsidP="005C6E99" w:rsidRDefault="00211F76" w14:paraId="038608AA" w14:textId="5660B9A2">
            <w:pPr>
              <w:spacing w:beforeAutospacing="1" w:afterAutospacing="1"/>
              <w:jc w:val="right"/>
            </w:pPr>
            <w:r w:rsidRPr="00A4391D">
              <w:rPr>
                <w:color w:val="000000"/>
              </w:rPr>
              <w:t xml:space="preserve">CDBG: </w:t>
            </w:r>
            <w:r w:rsidRPr="00A4391D" w:rsidR="00F86731">
              <w:rPr>
                <w:color w:val="000000"/>
              </w:rPr>
              <w:t>$</w:t>
            </w:r>
            <w:r w:rsidRPr="00A4391D" w:rsidR="00EF1A90">
              <w:rPr>
                <w:color w:val="000000"/>
              </w:rPr>
              <w:t>0</w:t>
            </w:r>
            <w:r w:rsidRPr="00A4391D">
              <w:rPr>
                <w:color w:val="000000"/>
              </w:rPr>
              <w:br/>
            </w:r>
            <w:r w:rsidRPr="00A4391D">
              <w:rPr>
                <w:color w:val="000000"/>
              </w:rPr>
              <w:t>HOME: $</w:t>
            </w:r>
            <w:r w:rsidRPr="00A4391D" w:rsidR="003439F9">
              <w:rPr>
                <w:color w:val="000000"/>
              </w:rPr>
              <w:t>372,972</w:t>
            </w:r>
          </w:p>
        </w:tc>
        <w:tc>
          <w:tcPr>
            <w:tcW w:w="2246" w:type="dxa"/>
            <w:shd w:val="clear" w:color="auto" w:fill="auto"/>
          </w:tcPr>
          <w:p w:rsidRPr="00A4391D" w:rsidR="00AE3CEE" w:rsidP="007868DC" w:rsidRDefault="00211F76" w14:paraId="55C7112F" w14:textId="5A2AC1CF">
            <w:pPr>
              <w:spacing w:beforeAutospacing="1" w:afterAutospacing="1"/>
              <w:rPr>
                <w:color w:val="000000"/>
              </w:rPr>
            </w:pPr>
            <w:r w:rsidRPr="00A4391D">
              <w:rPr>
                <w:color w:val="000000"/>
              </w:rPr>
              <w:t xml:space="preserve">Rental units constructed: </w:t>
            </w:r>
            <w:r w:rsidRPr="00A4391D" w:rsidR="00847392">
              <w:rPr>
                <w:color w:val="000000"/>
              </w:rPr>
              <w:t>2</w:t>
            </w:r>
            <w:r w:rsidRPr="00A4391D" w:rsidR="00C328B7">
              <w:rPr>
                <w:color w:val="000000"/>
              </w:rPr>
              <w:t>7</w:t>
            </w:r>
            <w:r w:rsidRPr="00A4391D">
              <w:rPr>
                <w:color w:val="000000"/>
              </w:rPr>
              <w:t xml:space="preserve"> Household Housing Unit</w:t>
            </w:r>
          </w:p>
          <w:p w:rsidRPr="00A4391D" w:rsidR="00777D08" w:rsidP="007868DC" w:rsidRDefault="009273F8" w14:paraId="480705B9" w14:textId="5D3C118C">
            <w:pPr>
              <w:spacing w:beforeAutospacing="1" w:afterAutospacing="1"/>
            </w:pPr>
            <w:r w:rsidRPr="00A4391D">
              <w:rPr>
                <w:color w:val="000000"/>
              </w:rPr>
              <w:t xml:space="preserve"> </w:t>
            </w:r>
          </w:p>
        </w:tc>
      </w:tr>
      <w:bookmarkEnd w:id="5"/>
      <w:tr w:rsidRPr="00ED22E1" w:rsidR="00D72BE4" w:rsidTr="00EF1A90" w14:paraId="342BC704" w14:textId="77777777">
        <w:trPr>
          <w:cantSplit/>
        </w:trPr>
        <w:tc>
          <w:tcPr>
            <w:tcW w:w="720" w:type="dxa"/>
          </w:tcPr>
          <w:p w:rsidRPr="00E36BA2" w:rsidR="00777D08" w:rsidRDefault="006834C6" w14:paraId="0FC81EAC" w14:textId="71FC1642">
            <w:pPr>
              <w:spacing w:beforeAutospacing="1" w:afterAutospacing="1"/>
              <w:rPr>
                <w:b/>
              </w:rPr>
            </w:pPr>
            <w:r w:rsidRPr="00E36BA2">
              <w:rPr>
                <w:b/>
              </w:rPr>
              <w:t>7</w:t>
            </w:r>
          </w:p>
        </w:tc>
        <w:tc>
          <w:tcPr>
            <w:tcW w:w="1260" w:type="dxa"/>
          </w:tcPr>
          <w:p w:rsidRPr="00223E89" w:rsidR="00777D08" w:rsidRDefault="00211F76" w14:paraId="0B4D6CDA" w14:textId="77777777">
            <w:pPr>
              <w:spacing w:beforeAutospacing="1" w:afterAutospacing="1"/>
            </w:pPr>
            <w:r w:rsidRPr="00223E89">
              <w:rPr>
                <w:color w:val="000000"/>
              </w:rPr>
              <w:t>EO 1.1 Support Microenterprises</w:t>
            </w:r>
          </w:p>
        </w:tc>
        <w:tc>
          <w:tcPr>
            <w:tcW w:w="540" w:type="dxa"/>
          </w:tcPr>
          <w:p w:rsidRPr="00223E89" w:rsidR="00777D08" w:rsidRDefault="00211F76" w14:paraId="34559BCC" w14:textId="77777777">
            <w:pPr>
              <w:spacing w:beforeAutospacing="1" w:afterAutospacing="1"/>
              <w:jc w:val="right"/>
            </w:pPr>
            <w:r w:rsidRPr="00223E89">
              <w:rPr>
                <w:color w:val="000000"/>
              </w:rPr>
              <w:t>2018</w:t>
            </w:r>
          </w:p>
        </w:tc>
        <w:tc>
          <w:tcPr>
            <w:tcW w:w="720" w:type="dxa"/>
          </w:tcPr>
          <w:p w:rsidRPr="00223E89" w:rsidR="00777D08" w:rsidRDefault="00211F76" w14:paraId="5346A837" w14:textId="77777777">
            <w:pPr>
              <w:spacing w:beforeAutospacing="1" w:afterAutospacing="1"/>
              <w:jc w:val="right"/>
            </w:pPr>
            <w:r w:rsidRPr="00223E89">
              <w:rPr>
                <w:color w:val="000000"/>
              </w:rPr>
              <w:t>2022</w:t>
            </w:r>
          </w:p>
        </w:tc>
        <w:tc>
          <w:tcPr>
            <w:tcW w:w="990" w:type="dxa"/>
          </w:tcPr>
          <w:p w:rsidRPr="00223E89" w:rsidR="00777D08" w:rsidRDefault="00211F76" w14:paraId="58B02E48" w14:textId="77777777">
            <w:pPr>
              <w:spacing w:beforeAutospacing="1" w:afterAutospacing="1"/>
            </w:pPr>
            <w:r w:rsidRPr="00223E89">
              <w:rPr>
                <w:color w:val="000000"/>
              </w:rPr>
              <w:t>Non-Housing Community Development</w:t>
            </w:r>
          </w:p>
        </w:tc>
        <w:tc>
          <w:tcPr>
            <w:tcW w:w="1153" w:type="dxa"/>
          </w:tcPr>
          <w:p w:rsidRPr="00223E89" w:rsidR="00777D08" w:rsidRDefault="00211F76" w14:paraId="79EC53FF" w14:textId="77777777">
            <w:pPr>
              <w:spacing w:beforeAutospacing="1" w:afterAutospacing="1"/>
            </w:pPr>
            <w:r w:rsidRPr="00223E89">
              <w:rPr>
                <w:color w:val="000000"/>
              </w:rPr>
              <w:t>NEIGHBORHOOD REVITALIZATION STRATEGY AREA</w:t>
            </w:r>
            <w:r w:rsidRPr="00223E89">
              <w:rPr>
                <w:color w:val="000000"/>
              </w:rPr>
              <w:br/>
            </w:r>
            <w:r w:rsidRPr="00223E89">
              <w:rPr>
                <w:color w:val="000000"/>
              </w:rPr>
              <w:t>City-Wide</w:t>
            </w:r>
          </w:p>
        </w:tc>
        <w:tc>
          <w:tcPr>
            <w:tcW w:w="1684" w:type="dxa"/>
          </w:tcPr>
          <w:p w:rsidRPr="00223E89" w:rsidR="00777D08" w:rsidRDefault="00211F76" w14:paraId="7A5F67A7" w14:textId="77777777">
            <w:pPr>
              <w:spacing w:beforeAutospacing="1" w:afterAutospacing="1"/>
            </w:pPr>
            <w:r w:rsidRPr="00223E89">
              <w:rPr>
                <w:color w:val="000000"/>
              </w:rPr>
              <w:t>AFH - Increase Employment/Economic Opportunities</w:t>
            </w:r>
          </w:p>
        </w:tc>
        <w:tc>
          <w:tcPr>
            <w:tcW w:w="1213" w:type="dxa"/>
            <w:shd w:val="clear" w:color="auto" w:fill="auto"/>
          </w:tcPr>
          <w:p w:rsidRPr="00EF1A90" w:rsidR="00777D08" w:rsidP="00D04591" w:rsidRDefault="00211F76" w14:paraId="391861FC" w14:textId="448716FD">
            <w:pPr>
              <w:spacing w:beforeAutospacing="1" w:afterAutospacing="1"/>
              <w:jc w:val="right"/>
            </w:pPr>
            <w:r w:rsidRPr="00EF1A90">
              <w:rPr>
                <w:color w:val="000000"/>
              </w:rPr>
              <w:t xml:space="preserve">CDBG: </w:t>
            </w:r>
            <w:r w:rsidRPr="00C7222F">
              <w:rPr>
                <w:color w:val="000000"/>
                <w:highlight w:val="yellow"/>
              </w:rPr>
              <w:t>$</w:t>
            </w:r>
            <w:r w:rsidR="00C7222F">
              <w:rPr>
                <w:color w:val="000000"/>
                <w:highlight w:val="yellow"/>
              </w:rPr>
              <w:t>20</w:t>
            </w:r>
            <w:r w:rsidR="00A4391D">
              <w:rPr>
                <w:color w:val="000000"/>
                <w:highlight w:val="yellow"/>
              </w:rPr>
              <w:t>4</w:t>
            </w:r>
            <w:r w:rsidR="00C7222F">
              <w:rPr>
                <w:color w:val="000000"/>
                <w:highlight w:val="yellow"/>
              </w:rPr>
              <w:t>,000</w:t>
            </w:r>
          </w:p>
        </w:tc>
        <w:tc>
          <w:tcPr>
            <w:tcW w:w="2246" w:type="dxa"/>
          </w:tcPr>
          <w:p w:rsidR="007338B8" w:rsidRDefault="00211F76" w14:paraId="53790EEE" w14:textId="77777777">
            <w:pPr>
              <w:spacing w:beforeAutospacing="1" w:afterAutospacing="1"/>
              <w:rPr>
                <w:color w:val="000000"/>
              </w:rPr>
            </w:pPr>
            <w:r w:rsidRPr="00FE3A89">
              <w:rPr>
                <w:color w:val="000000"/>
              </w:rPr>
              <w:t xml:space="preserve">Businesses assisted: </w:t>
            </w:r>
            <w:r w:rsidRPr="00FE3A89" w:rsidR="005E4BC3">
              <w:rPr>
                <w:color w:val="000000"/>
              </w:rPr>
              <w:t>1</w:t>
            </w:r>
            <w:r w:rsidRPr="00FE3A89" w:rsidR="005E6BE9">
              <w:rPr>
                <w:color w:val="000000"/>
              </w:rPr>
              <w:t>43</w:t>
            </w:r>
            <w:r w:rsidRPr="00FE3A89" w:rsidR="005E4BC3">
              <w:rPr>
                <w:color w:val="000000"/>
              </w:rPr>
              <w:t xml:space="preserve"> </w:t>
            </w:r>
            <w:r w:rsidRPr="00FE3A89">
              <w:rPr>
                <w:color w:val="000000"/>
              </w:rPr>
              <w:t>Businesses Assisted</w:t>
            </w:r>
            <w:r w:rsidRPr="00FE3A89" w:rsidR="009273F8">
              <w:rPr>
                <w:color w:val="000000"/>
              </w:rPr>
              <w:t xml:space="preserve"> </w:t>
            </w:r>
          </w:p>
          <w:p w:rsidRPr="00ED22E1" w:rsidR="00777D08" w:rsidRDefault="00777D08" w14:paraId="7773E52C" w14:textId="6D8D3520">
            <w:pPr>
              <w:spacing w:beforeAutospacing="1" w:afterAutospacing="1"/>
              <w:rPr>
                <w:highlight w:val="lightGray"/>
              </w:rPr>
            </w:pPr>
          </w:p>
        </w:tc>
      </w:tr>
      <w:tr w:rsidRPr="00ED22E1" w:rsidR="00D72BE4" w:rsidTr="00EF1A90" w14:paraId="6DF7E34B" w14:textId="77777777">
        <w:trPr>
          <w:cantSplit/>
        </w:trPr>
        <w:tc>
          <w:tcPr>
            <w:tcW w:w="720" w:type="dxa"/>
          </w:tcPr>
          <w:p w:rsidRPr="00ED22E1" w:rsidR="00777D08" w:rsidRDefault="006834C6" w14:paraId="0E7EAC03" w14:textId="29A9F212">
            <w:pPr>
              <w:spacing w:beforeAutospacing="1" w:afterAutospacing="1"/>
              <w:rPr>
                <w:highlight w:val="lightGray"/>
              </w:rPr>
            </w:pPr>
            <w:r w:rsidRPr="003439F9">
              <w:rPr>
                <w:b/>
                <w:color w:val="000000"/>
              </w:rPr>
              <w:t>8</w:t>
            </w:r>
          </w:p>
        </w:tc>
        <w:tc>
          <w:tcPr>
            <w:tcW w:w="1260" w:type="dxa"/>
          </w:tcPr>
          <w:p w:rsidRPr="00A35604" w:rsidR="00777D08" w:rsidRDefault="00211F76" w14:paraId="2C99B47A" w14:textId="77777777">
            <w:pPr>
              <w:spacing w:beforeAutospacing="1" w:afterAutospacing="1"/>
            </w:pPr>
            <w:r w:rsidRPr="00A35604">
              <w:rPr>
                <w:color w:val="000000"/>
              </w:rPr>
              <w:t>EO 1.2 Retain/Create Jobs</w:t>
            </w:r>
          </w:p>
        </w:tc>
        <w:tc>
          <w:tcPr>
            <w:tcW w:w="540" w:type="dxa"/>
          </w:tcPr>
          <w:p w:rsidRPr="00A35604" w:rsidR="00777D08" w:rsidRDefault="00211F76" w14:paraId="1FAD6771" w14:textId="77777777">
            <w:pPr>
              <w:spacing w:beforeAutospacing="1" w:afterAutospacing="1"/>
              <w:jc w:val="right"/>
            </w:pPr>
            <w:r w:rsidRPr="00A35604">
              <w:rPr>
                <w:color w:val="000000"/>
              </w:rPr>
              <w:t>2018</w:t>
            </w:r>
          </w:p>
        </w:tc>
        <w:tc>
          <w:tcPr>
            <w:tcW w:w="720" w:type="dxa"/>
          </w:tcPr>
          <w:p w:rsidRPr="00A35604" w:rsidR="00777D08" w:rsidRDefault="00211F76" w14:paraId="5A661997" w14:textId="77777777">
            <w:pPr>
              <w:spacing w:beforeAutospacing="1" w:afterAutospacing="1"/>
              <w:jc w:val="right"/>
            </w:pPr>
            <w:r w:rsidRPr="00A35604">
              <w:rPr>
                <w:color w:val="000000"/>
              </w:rPr>
              <w:t>2022</w:t>
            </w:r>
          </w:p>
        </w:tc>
        <w:tc>
          <w:tcPr>
            <w:tcW w:w="990" w:type="dxa"/>
          </w:tcPr>
          <w:p w:rsidRPr="00A35604" w:rsidR="00777D08" w:rsidRDefault="00211F76" w14:paraId="19F090E5" w14:textId="77777777">
            <w:pPr>
              <w:spacing w:beforeAutospacing="1" w:afterAutospacing="1"/>
            </w:pPr>
            <w:r w:rsidRPr="00A35604">
              <w:rPr>
                <w:color w:val="000000"/>
              </w:rPr>
              <w:t>Non-Housing Community Development</w:t>
            </w:r>
          </w:p>
        </w:tc>
        <w:tc>
          <w:tcPr>
            <w:tcW w:w="1153" w:type="dxa"/>
          </w:tcPr>
          <w:p w:rsidRPr="00A35604" w:rsidR="00777D08" w:rsidRDefault="00211F76" w14:paraId="3CF36F44" w14:textId="77777777">
            <w:pPr>
              <w:spacing w:beforeAutospacing="1" w:afterAutospacing="1"/>
            </w:pPr>
            <w:r w:rsidRPr="00A35604">
              <w:rPr>
                <w:color w:val="000000"/>
              </w:rPr>
              <w:t>NEIGHBORHOOD REVITALIZATION STRATEGY AREA</w:t>
            </w:r>
          </w:p>
        </w:tc>
        <w:tc>
          <w:tcPr>
            <w:tcW w:w="1684" w:type="dxa"/>
          </w:tcPr>
          <w:p w:rsidRPr="00A35604" w:rsidR="00777D08" w:rsidRDefault="00211F76" w14:paraId="620067E1" w14:textId="77777777">
            <w:pPr>
              <w:spacing w:beforeAutospacing="1" w:afterAutospacing="1"/>
            </w:pPr>
            <w:r w:rsidRPr="00A35604">
              <w:rPr>
                <w:color w:val="000000"/>
              </w:rPr>
              <w:t>AFH - Increase Employment/Economic Opportunities</w:t>
            </w:r>
          </w:p>
        </w:tc>
        <w:tc>
          <w:tcPr>
            <w:tcW w:w="1213" w:type="dxa"/>
          </w:tcPr>
          <w:p w:rsidRPr="00A35604" w:rsidR="00777D08" w:rsidRDefault="00211F76" w14:paraId="449E1D52" w14:textId="77777777">
            <w:pPr>
              <w:spacing w:beforeAutospacing="1" w:afterAutospacing="1"/>
              <w:jc w:val="right"/>
            </w:pPr>
            <w:r w:rsidRPr="00A35604">
              <w:rPr>
                <w:color w:val="000000"/>
              </w:rPr>
              <w:t>CDBG: $0</w:t>
            </w:r>
            <w:r w:rsidRPr="00A35604">
              <w:rPr>
                <w:color w:val="000000"/>
              </w:rPr>
              <w:br/>
            </w:r>
            <w:r w:rsidRPr="00A35604">
              <w:rPr>
                <w:color w:val="000000"/>
              </w:rPr>
              <w:t>HOME: $0</w:t>
            </w:r>
          </w:p>
        </w:tc>
        <w:tc>
          <w:tcPr>
            <w:tcW w:w="2246" w:type="dxa"/>
          </w:tcPr>
          <w:p w:rsidRPr="00A35604" w:rsidR="00777D08" w:rsidRDefault="00211F76" w14:paraId="00D7B2ED" w14:textId="77777777">
            <w:pPr>
              <w:spacing w:beforeAutospacing="1" w:afterAutospacing="1"/>
            </w:pPr>
            <w:r w:rsidRPr="00A35604">
              <w:rPr>
                <w:color w:val="000000"/>
              </w:rPr>
              <w:t>Jobs created/retained: 2 Jobs</w:t>
            </w:r>
          </w:p>
        </w:tc>
      </w:tr>
      <w:tr w:rsidRPr="00ED22E1" w:rsidR="00D72BE4" w:rsidTr="00EF1A90" w14:paraId="0C917AF0" w14:textId="77777777">
        <w:trPr>
          <w:cantSplit/>
        </w:trPr>
        <w:tc>
          <w:tcPr>
            <w:tcW w:w="720" w:type="dxa"/>
            <w:shd w:val="clear" w:color="auto" w:fill="auto"/>
          </w:tcPr>
          <w:p w:rsidRPr="00792890" w:rsidR="00777D08" w:rsidRDefault="006834C6" w14:paraId="59D7B31A" w14:textId="211009A4">
            <w:pPr>
              <w:spacing w:beforeAutospacing="1" w:afterAutospacing="1"/>
            </w:pPr>
            <w:r w:rsidRPr="00792890">
              <w:rPr>
                <w:b/>
                <w:color w:val="000000"/>
              </w:rPr>
              <w:t>9</w:t>
            </w:r>
          </w:p>
        </w:tc>
        <w:tc>
          <w:tcPr>
            <w:tcW w:w="1260" w:type="dxa"/>
            <w:shd w:val="clear" w:color="auto" w:fill="auto"/>
          </w:tcPr>
          <w:p w:rsidRPr="00792890" w:rsidR="00777D08" w:rsidRDefault="00211F76" w14:paraId="42FEBF64" w14:textId="77777777">
            <w:pPr>
              <w:spacing w:beforeAutospacing="1" w:afterAutospacing="1"/>
            </w:pPr>
            <w:r w:rsidRPr="00792890">
              <w:rPr>
                <w:color w:val="000000"/>
              </w:rPr>
              <w:t>EO 1.3 Reduce Economic Barriers - Early Childhood</w:t>
            </w:r>
          </w:p>
        </w:tc>
        <w:tc>
          <w:tcPr>
            <w:tcW w:w="540" w:type="dxa"/>
            <w:shd w:val="clear" w:color="auto" w:fill="auto"/>
          </w:tcPr>
          <w:p w:rsidRPr="00792890" w:rsidR="00777D08" w:rsidRDefault="00211F76" w14:paraId="42013C17" w14:textId="77777777">
            <w:pPr>
              <w:spacing w:beforeAutospacing="1" w:afterAutospacing="1"/>
              <w:jc w:val="right"/>
            </w:pPr>
            <w:r w:rsidRPr="00792890">
              <w:rPr>
                <w:color w:val="000000"/>
              </w:rPr>
              <w:t>2018</w:t>
            </w:r>
          </w:p>
        </w:tc>
        <w:tc>
          <w:tcPr>
            <w:tcW w:w="720" w:type="dxa"/>
            <w:shd w:val="clear" w:color="auto" w:fill="auto"/>
          </w:tcPr>
          <w:p w:rsidRPr="00792890" w:rsidR="00777D08" w:rsidRDefault="00211F76" w14:paraId="446B1340" w14:textId="77777777">
            <w:pPr>
              <w:spacing w:beforeAutospacing="1" w:afterAutospacing="1"/>
              <w:jc w:val="right"/>
            </w:pPr>
            <w:r w:rsidRPr="00792890">
              <w:rPr>
                <w:color w:val="000000"/>
              </w:rPr>
              <w:t>2022</w:t>
            </w:r>
          </w:p>
        </w:tc>
        <w:tc>
          <w:tcPr>
            <w:tcW w:w="990" w:type="dxa"/>
            <w:shd w:val="clear" w:color="auto" w:fill="auto"/>
          </w:tcPr>
          <w:p w:rsidRPr="00792890" w:rsidR="00777D08" w:rsidRDefault="00211F76" w14:paraId="5ACE505F" w14:textId="77777777">
            <w:pPr>
              <w:spacing w:beforeAutospacing="1" w:afterAutospacing="1"/>
            </w:pPr>
            <w:r w:rsidRPr="00792890">
              <w:rPr>
                <w:color w:val="000000"/>
              </w:rPr>
              <w:t>Non-Housing Community Development</w:t>
            </w:r>
          </w:p>
        </w:tc>
        <w:tc>
          <w:tcPr>
            <w:tcW w:w="1153" w:type="dxa"/>
            <w:shd w:val="clear" w:color="auto" w:fill="auto"/>
          </w:tcPr>
          <w:p w:rsidRPr="00792890" w:rsidR="00777D08" w:rsidRDefault="00211F76" w14:paraId="37EE2959" w14:textId="77777777">
            <w:pPr>
              <w:spacing w:beforeAutospacing="1" w:afterAutospacing="1"/>
            </w:pPr>
            <w:r w:rsidRPr="00792890">
              <w:rPr>
                <w:color w:val="000000"/>
              </w:rPr>
              <w:t>NEIGHBORHOOD REVITALIZATION STRATEGY AREA</w:t>
            </w:r>
          </w:p>
        </w:tc>
        <w:tc>
          <w:tcPr>
            <w:tcW w:w="1684" w:type="dxa"/>
            <w:shd w:val="clear" w:color="auto" w:fill="auto"/>
          </w:tcPr>
          <w:p w:rsidRPr="00792890" w:rsidR="00777D08" w:rsidRDefault="00211F76" w14:paraId="46B51732" w14:textId="77777777">
            <w:pPr>
              <w:spacing w:beforeAutospacing="1" w:afterAutospacing="1"/>
            </w:pPr>
            <w:r w:rsidRPr="00792890">
              <w:rPr>
                <w:color w:val="000000"/>
              </w:rPr>
              <w:t>Reduce Barriers to Economic Opportunities</w:t>
            </w:r>
          </w:p>
        </w:tc>
        <w:tc>
          <w:tcPr>
            <w:tcW w:w="1213" w:type="dxa"/>
            <w:shd w:val="clear" w:color="auto" w:fill="auto"/>
          </w:tcPr>
          <w:p w:rsidRPr="00792890" w:rsidR="00777D08" w:rsidRDefault="00D460B6" w14:paraId="2C47A72A" w14:textId="402F0339">
            <w:pPr>
              <w:spacing w:beforeAutospacing="1" w:afterAutospacing="1"/>
              <w:jc w:val="right"/>
            </w:pPr>
            <w:r w:rsidRPr="00792890">
              <w:rPr>
                <w:color w:val="000000"/>
              </w:rPr>
              <w:t>CDBG: $0</w:t>
            </w:r>
          </w:p>
        </w:tc>
        <w:tc>
          <w:tcPr>
            <w:tcW w:w="2246" w:type="dxa"/>
            <w:shd w:val="clear" w:color="auto" w:fill="auto"/>
          </w:tcPr>
          <w:p w:rsidRPr="00792890" w:rsidR="00777D08" w:rsidRDefault="00211F76" w14:paraId="53E4D378" w14:textId="5F7128C2">
            <w:pPr>
              <w:spacing w:beforeAutospacing="1" w:afterAutospacing="1"/>
            </w:pPr>
            <w:r w:rsidRPr="00792890">
              <w:rPr>
                <w:color w:val="000000"/>
              </w:rPr>
              <w:t>Public service activities other than Low/Mod</w:t>
            </w:r>
            <w:r w:rsidRPr="00792890" w:rsidR="00D460B6">
              <w:rPr>
                <w:color w:val="000000"/>
              </w:rPr>
              <w:t xml:space="preserve">erate Income Housing Benefit: </w:t>
            </w:r>
            <w:r w:rsidRPr="00792890" w:rsidR="00792890">
              <w:rPr>
                <w:color w:val="000000"/>
              </w:rPr>
              <w:t>0</w:t>
            </w:r>
          </w:p>
        </w:tc>
      </w:tr>
      <w:tr w:rsidRPr="00ED22E1" w:rsidR="00D72BE4" w:rsidTr="00EF1A90" w14:paraId="14085A56" w14:textId="77777777">
        <w:trPr>
          <w:cantSplit/>
        </w:trPr>
        <w:tc>
          <w:tcPr>
            <w:tcW w:w="720" w:type="dxa"/>
          </w:tcPr>
          <w:p w:rsidRPr="00FE3A89" w:rsidR="00777D08" w:rsidP="006834C6" w:rsidRDefault="00211F76" w14:paraId="44260295" w14:textId="684566B5">
            <w:pPr>
              <w:spacing w:beforeAutospacing="1" w:afterAutospacing="1"/>
            </w:pPr>
            <w:r w:rsidRPr="00FE3A89">
              <w:rPr>
                <w:b/>
                <w:color w:val="000000"/>
              </w:rPr>
              <w:lastRenderedPageBreak/>
              <w:t>1</w:t>
            </w:r>
            <w:r w:rsidRPr="00FE3A89" w:rsidR="006834C6">
              <w:rPr>
                <w:b/>
                <w:color w:val="000000"/>
              </w:rPr>
              <w:t>0</w:t>
            </w:r>
          </w:p>
        </w:tc>
        <w:tc>
          <w:tcPr>
            <w:tcW w:w="1260" w:type="dxa"/>
          </w:tcPr>
          <w:p w:rsidRPr="00FE3A89" w:rsidR="00777D08" w:rsidRDefault="00211F76" w14:paraId="013DED38" w14:textId="77777777">
            <w:pPr>
              <w:spacing w:beforeAutospacing="1" w:afterAutospacing="1"/>
            </w:pPr>
            <w:r w:rsidRPr="00FE3A89">
              <w:rPr>
                <w:color w:val="000000"/>
              </w:rPr>
              <w:t>EO 1.4 Reduce Economic Barriers - Access Resources</w:t>
            </w:r>
          </w:p>
        </w:tc>
        <w:tc>
          <w:tcPr>
            <w:tcW w:w="540" w:type="dxa"/>
          </w:tcPr>
          <w:p w:rsidRPr="00FE3A89" w:rsidR="00777D08" w:rsidRDefault="00211F76" w14:paraId="3FC21DB7" w14:textId="77777777">
            <w:pPr>
              <w:spacing w:beforeAutospacing="1" w:afterAutospacing="1"/>
              <w:jc w:val="right"/>
            </w:pPr>
            <w:r w:rsidRPr="00FE3A89">
              <w:rPr>
                <w:color w:val="000000"/>
              </w:rPr>
              <w:t>2018</w:t>
            </w:r>
          </w:p>
        </w:tc>
        <w:tc>
          <w:tcPr>
            <w:tcW w:w="720" w:type="dxa"/>
          </w:tcPr>
          <w:p w:rsidRPr="00FE3A89" w:rsidR="00777D08" w:rsidRDefault="00211F76" w14:paraId="14FABAF1" w14:textId="77777777">
            <w:pPr>
              <w:spacing w:beforeAutospacing="1" w:afterAutospacing="1"/>
              <w:jc w:val="right"/>
            </w:pPr>
            <w:r w:rsidRPr="00FE3A89">
              <w:rPr>
                <w:color w:val="000000"/>
              </w:rPr>
              <w:t>2022</w:t>
            </w:r>
          </w:p>
        </w:tc>
        <w:tc>
          <w:tcPr>
            <w:tcW w:w="990" w:type="dxa"/>
          </w:tcPr>
          <w:p w:rsidRPr="00FE3A89" w:rsidR="00777D08" w:rsidRDefault="00211F76" w14:paraId="71E27D19" w14:textId="77777777">
            <w:pPr>
              <w:spacing w:beforeAutospacing="1" w:afterAutospacing="1"/>
            </w:pPr>
            <w:r w:rsidRPr="00FE3A89">
              <w:rPr>
                <w:color w:val="000000"/>
              </w:rPr>
              <w:t>Non-Housing Community Development</w:t>
            </w:r>
          </w:p>
        </w:tc>
        <w:tc>
          <w:tcPr>
            <w:tcW w:w="1153" w:type="dxa"/>
          </w:tcPr>
          <w:p w:rsidRPr="00FE3A89" w:rsidR="00777D08" w:rsidRDefault="00211F76" w14:paraId="18E62836" w14:textId="77777777">
            <w:pPr>
              <w:spacing w:beforeAutospacing="1" w:afterAutospacing="1"/>
            </w:pPr>
            <w:r w:rsidRPr="00FE3A89">
              <w:rPr>
                <w:color w:val="000000"/>
              </w:rPr>
              <w:t>NEIGHBORHOOD REVITALIZATION STRATEGY AREA</w:t>
            </w:r>
          </w:p>
        </w:tc>
        <w:tc>
          <w:tcPr>
            <w:tcW w:w="1684" w:type="dxa"/>
          </w:tcPr>
          <w:p w:rsidRPr="00FE3A89" w:rsidR="00777D08" w:rsidRDefault="00211F76" w14:paraId="50A16A78" w14:textId="77777777">
            <w:pPr>
              <w:spacing w:beforeAutospacing="1" w:afterAutospacing="1"/>
            </w:pPr>
            <w:r w:rsidRPr="00FE3A89">
              <w:rPr>
                <w:color w:val="000000"/>
              </w:rPr>
              <w:t>Reduce Barriers to Economic Opportunities</w:t>
            </w:r>
          </w:p>
        </w:tc>
        <w:tc>
          <w:tcPr>
            <w:tcW w:w="1213" w:type="dxa"/>
            <w:shd w:val="clear" w:color="auto" w:fill="auto"/>
          </w:tcPr>
          <w:p w:rsidRPr="00707A8F" w:rsidR="00777D08" w:rsidP="006B6202" w:rsidRDefault="00211F76" w14:paraId="5B7E690A" w14:textId="6D429583">
            <w:pPr>
              <w:spacing w:beforeAutospacing="1" w:afterAutospacing="1"/>
              <w:jc w:val="right"/>
              <w:rPr>
                <w:color w:val="000000"/>
              </w:rPr>
            </w:pPr>
            <w:r w:rsidRPr="009664E0">
              <w:rPr>
                <w:color w:val="000000"/>
              </w:rPr>
              <w:t xml:space="preserve">CDBG: </w:t>
            </w:r>
            <w:r w:rsidRPr="00707A8F">
              <w:rPr>
                <w:color w:val="000000"/>
              </w:rPr>
              <w:t>$</w:t>
            </w:r>
            <w:r w:rsidRPr="00707A8F" w:rsidR="003D334C">
              <w:rPr>
                <w:color w:val="000000"/>
              </w:rPr>
              <w:t>48,164</w:t>
            </w:r>
          </w:p>
        </w:tc>
        <w:tc>
          <w:tcPr>
            <w:tcW w:w="2246" w:type="dxa"/>
          </w:tcPr>
          <w:p w:rsidRPr="00E36BA2" w:rsidR="00777D08" w:rsidRDefault="00211F76" w14:paraId="1B90909B" w14:textId="74AB1791">
            <w:pPr>
              <w:spacing w:beforeAutospacing="1" w:afterAutospacing="1"/>
              <w:rPr>
                <w:color w:val="000000"/>
                <w:shd w:val="clear" w:color="auto" w:fill="FFFF00"/>
              </w:rPr>
            </w:pPr>
            <w:r w:rsidRPr="00FE3A89">
              <w:rPr>
                <w:color w:val="000000"/>
              </w:rPr>
              <w:t>Public service activities other than Low/Moderate Income Housing Benefi</w:t>
            </w:r>
            <w:r w:rsidR="00FE3A89">
              <w:rPr>
                <w:color w:val="000000"/>
              </w:rPr>
              <w:t>t: 611 Persons Assisted</w:t>
            </w:r>
            <w:r w:rsidRPr="00FE3A89" w:rsidR="009273F8">
              <w:rPr>
                <w:color w:val="000000"/>
                <w:shd w:val="clear" w:color="auto" w:fill="FFFF00"/>
              </w:rPr>
              <w:t xml:space="preserve"> </w:t>
            </w:r>
          </w:p>
        </w:tc>
      </w:tr>
      <w:tr w:rsidRPr="00ED22E1" w:rsidR="00D72BE4" w:rsidTr="00EF1A90" w14:paraId="1C6DE49F" w14:textId="77777777">
        <w:trPr>
          <w:cantSplit/>
        </w:trPr>
        <w:tc>
          <w:tcPr>
            <w:tcW w:w="720" w:type="dxa"/>
          </w:tcPr>
          <w:p w:rsidRPr="00922A65" w:rsidR="00777D08" w:rsidP="006834C6" w:rsidRDefault="00211F76" w14:paraId="1F7E486C" w14:textId="577FCEA4">
            <w:pPr>
              <w:spacing w:beforeAutospacing="1" w:afterAutospacing="1"/>
            </w:pPr>
            <w:r w:rsidRPr="00922A65">
              <w:rPr>
                <w:b/>
                <w:color w:val="000000"/>
              </w:rPr>
              <w:t>1</w:t>
            </w:r>
            <w:r w:rsidRPr="00922A65" w:rsidR="006834C6">
              <w:rPr>
                <w:b/>
                <w:color w:val="000000"/>
              </w:rPr>
              <w:t>1</w:t>
            </w:r>
          </w:p>
        </w:tc>
        <w:tc>
          <w:tcPr>
            <w:tcW w:w="1260" w:type="dxa"/>
          </w:tcPr>
          <w:p w:rsidRPr="00922A65" w:rsidR="00777D08" w:rsidRDefault="00211F76" w14:paraId="4AAD0D08" w14:textId="77777777">
            <w:pPr>
              <w:spacing w:beforeAutospacing="1" w:afterAutospacing="1"/>
            </w:pPr>
            <w:r w:rsidRPr="00922A65">
              <w:rPr>
                <w:color w:val="000000"/>
              </w:rPr>
              <w:t>SL 1.1 Provide Public Services Homeless</w:t>
            </w:r>
          </w:p>
        </w:tc>
        <w:tc>
          <w:tcPr>
            <w:tcW w:w="540" w:type="dxa"/>
          </w:tcPr>
          <w:p w:rsidRPr="00922A65" w:rsidR="00777D08" w:rsidRDefault="00211F76" w14:paraId="6BD9D5C7" w14:textId="77777777">
            <w:pPr>
              <w:spacing w:beforeAutospacing="1" w:afterAutospacing="1"/>
              <w:jc w:val="right"/>
            </w:pPr>
            <w:r w:rsidRPr="00922A65">
              <w:rPr>
                <w:color w:val="000000"/>
              </w:rPr>
              <w:t>2018</w:t>
            </w:r>
          </w:p>
        </w:tc>
        <w:tc>
          <w:tcPr>
            <w:tcW w:w="720" w:type="dxa"/>
          </w:tcPr>
          <w:p w:rsidRPr="00922A65" w:rsidR="00777D08" w:rsidRDefault="00211F76" w14:paraId="1EEB2663" w14:textId="77777777">
            <w:pPr>
              <w:spacing w:beforeAutospacing="1" w:afterAutospacing="1"/>
              <w:jc w:val="right"/>
            </w:pPr>
            <w:r w:rsidRPr="00922A65">
              <w:rPr>
                <w:color w:val="000000"/>
              </w:rPr>
              <w:t>2022</w:t>
            </w:r>
          </w:p>
        </w:tc>
        <w:tc>
          <w:tcPr>
            <w:tcW w:w="990" w:type="dxa"/>
          </w:tcPr>
          <w:p w:rsidRPr="00922A65" w:rsidR="00777D08" w:rsidRDefault="00211F76" w14:paraId="3E2C5771" w14:textId="77777777">
            <w:pPr>
              <w:spacing w:beforeAutospacing="1" w:afterAutospacing="1"/>
            </w:pPr>
            <w:r w:rsidRPr="00922A65">
              <w:rPr>
                <w:color w:val="000000"/>
              </w:rPr>
              <w:t>Homeless</w:t>
            </w:r>
          </w:p>
        </w:tc>
        <w:tc>
          <w:tcPr>
            <w:tcW w:w="1153" w:type="dxa"/>
          </w:tcPr>
          <w:p w:rsidRPr="00922A65" w:rsidR="00777D08" w:rsidRDefault="00211F76" w14:paraId="46235BB9" w14:textId="77777777">
            <w:pPr>
              <w:spacing w:beforeAutospacing="1" w:afterAutospacing="1"/>
            </w:pPr>
            <w:r w:rsidRPr="00922A65">
              <w:rPr>
                <w:color w:val="000000"/>
              </w:rPr>
              <w:t>NEIGHBORHOOD REVITALIZATION STRATEGY AREA</w:t>
            </w:r>
            <w:r w:rsidRPr="00922A65">
              <w:rPr>
                <w:color w:val="000000"/>
              </w:rPr>
              <w:br/>
            </w:r>
            <w:r w:rsidRPr="00922A65">
              <w:rPr>
                <w:color w:val="000000"/>
              </w:rPr>
              <w:t>City-Wide</w:t>
            </w:r>
          </w:p>
        </w:tc>
        <w:tc>
          <w:tcPr>
            <w:tcW w:w="1684" w:type="dxa"/>
          </w:tcPr>
          <w:p w:rsidRPr="00922A65" w:rsidR="00777D08" w:rsidRDefault="00211F76" w14:paraId="5582A198" w14:textId="77777777">
            <w:pPr>
              <w:spacing w:beforeAutospacing="1" w:afterAutospacing="1"/>
            </w:pPr>
            <w:r w:rsidRPr="00922A65">
              <w:rPr>
                <w:color w:val="000000"/>
              </w:rPr>
              <w:t>Provide Public Services to At Risk Population</w:t>
            </w:r>
            <w:r w:rsidRPr="00922A65">
              <w:rPr>
                <w:color w:val="000000"/>
              </w:rPr>
              <w:br/>
            </w:r>
            <w:r w:rsidRPr="00922A65">
              <w:rPr>
                <w:color w:val="000000"/>
              </w:rPr>
              <w:t>Protect the Vulnerable</w:t>
            </w:r>
          </w:p>
        </w:tc>
        <w:tc>
          <w:tcPr>
            <w:tcW w:w="1213" w:type="dxa"/>
            <w:shd w:val="clear" w:color="auto" w:fill="auto"/>
          </w:tcPr>
          <w:p w:rsidRPr="00922A65" w:rsidR="00777D08" w:rsidP="00F63ABC" w:rsidRDefault="00211F76" w14:paraId="0F7E38CF" w14:textId="47FDF840">
            <w:pPr>
              <w:spacing w:beforeAutospacing="1" w:afterAutospacing="1"/>
              <w:jc w:val="right"/>
            </w:pPr>
            <w:r w:rsidRPr="00922A65">
              <w:rPr>
                <w:color w:val="000000"/>
              </w:rPr>
              <w:t>CDBG: $</w:t>
            </w:r>
            <w:r w:rsidRPr="00922A65" w:rsidR="00BA0CF9">
              <w:rPr>
                <w:color w:val="000000"/>
              </w:rPr>
              <w:t>17,500</w:t>
            </w:r>
            <w:r w:rsidRPr="00922A65">
              <w:rPr>
                <w:color w:val="000000"/>
              </w:rPr>
              <w:br/>
            </w:r>
            <w:r w:rsidRPr="00922A65">
              <w:rPr>
                <w:color w:val="000000"/>
              </w:rPr>
              <w:t>HOME: $0</w:t>
            </w:r>
          </w:p>
        </w:tc>
        <w:tc>
          <w:tcPr>
            <w:tcW w:w="2246" w:type="dxa"/>
          </w:tcPr>
          <w:p w:rsidRPr="00922A65" w:rsidR="00777D08" w:rsidP="00BE00FE" w:rsidRDefault="00211F76" w14:paraId="785628F3" w14:textId="568A5870">
            <w:pPr>
              <w:spacing w:beforeAutospacing="1" w:afterAutospacing="1"/>
              <w:rPr>
                <w:color w:val="000000"/>
                <w:highlight w:val="yellow"/>
              </w:rPr>
            </w:pPr>
            <w:r w:rsidRPr="00922A65">
              <w:rPr>
                <w:color w:val="000000"/>
              </w:rPr>
              <w:t xml:space="preserve">Public </w:t>
            </w:r>
            <w:r w:rsidRPr="00922A65" w:rsidR="00BE00FE">
              <w:rPr>
                <w:color w:val="000000"/>
              </w:rPr>
              <w:t>Facility or Infrastructure Activities</w:t>
            </w:r>
            <w:r w:rsidRPr="00922A65">
              <w:rPr>
                <w:color w:val="000000"/>
              </w:rPr>
              <w:t xml:space="preserve">: </w:t>
            </w:r>
            <w:r w:rsidRPr="00922A65" w:rsidR="00BA0CF9">
              <w:rPr>
                <w:color w:val="000000"/>
              </w:rPr>
              <w:t xml:space="preserve"> </w:t>
            </w:r>
            <w:r w:rsidRPr="00922A65" w:rsidR="000922FD">
              <w:rPr>
                <w:color w:val="000000"/>
              </w:rPr>
              <w:t xml:space="preserve">88 </w:t>
            </w:r>
            <w:r w:rsidRPr="00922A65">
              <w:rPr>
                <w:color w:val="000000"/>
              </w:rPr>
              <w:t>Households Assisted</w:t>
            </w:r>
            <w:r w:rsidR="0068751C">
              <w:rPr>
                <w:color w:val="000000"/>
                <w:highlight w:val="yellow"/>
              </w:rPr>
              <w:t xml:space="preserve"> </w:t>
            </w:r>
          </w:p>
        </w:tc>
      </w:tr>
      <w:tr w:rsidRPr="00ED22E1" w:rsidR="00D72BE4" w:rsidTr="00EF1A90" w14:paraId="379F8741" w14:textId="77777777">
        <w:trPr>
          <w:cantSplit/>
        </w:trPr>
        <w:tc>
          <w:tcPr>
            <w:tcW w:w="720" w:type="dxa"/>
          </w:tcPr>
          <w:p w:rsidRPr="009A146D" w:rsidR="00777D08" w:rsidRDefault="006834C6" w14:paraId="3EE8626E" w14:textId="62767A4C">
            <w:pPr>
              <w:spacing w:beforeAutospacing="1" w:afterAutospacing="1"/>
            </w:pPr>
            <w:r w:rsidRPr="009A146D">
              <w:rPr>
                <w:b/>
                <w:color w:val="000000"/>
              </w:rPr>
              <w:t>12</w:t>
            </w:r>
          </w:p>
        </w:tc>
        <w:tc>
          <w:tcPr>
            <w:tcW w:w="1260" w:type="dxa"/>
          </w:tcPr>
          <w:p w:rsidRPr="009A146D" w:rsidR="00777D08" w:rsidRDefault="00211F76" w14:paraId="7414F86A" w14:textId="77777777">
            <w:pPr>
              <w:spacing w:beforeAutospacing="1" w:afterAutospacing="1"/>
            </w:pPr>
            <w:r w:rsidRPr="009A146D">
              <w:rPr>
                <w:color w:val="000000"/>
              </w:rPr>
              <w:t>SL 1.2 Provide Public Services</w:t>
            </w:r>
          </w:p>
        </w:tc>
        <w:tc>
          <w:tcPr>
            <w:tcW w:w="540" w:type="dxa"/>
          </w:tcPr>
          <w:p w:rsidRPr="009A146D" w:rsidR="00777D08" w:rsidRDefault="00211F76" w14:paraId="638AEE45" w14:textId="77777777">
            <w:pPr>
              <w:spacing w:beforeAutospacing="1" w:afterAutospacing="1"/>
              <w:jc w:val="right"/>
            </w:pPr>
            <w:r w:rsidRPr="009A146D">
              <w:rPr>
                <w:color w:val="000000"/>
              </w:rPr>
              <w:t>2018</w:t>
            </w:r>
          </w:p>
        </w:tc>
        <w:tc>
          <w:tcPr>
            <w:tcW w:w="720" w:type="dxa"/>
          </w:tcPr>
          <w:p w:rsidRPr="009A146D" w:rsidR="00777D08" w:rsidRDefault="00211F76" w14:paraId="63E3BF55" w14:textId="77777777">
            <w:pPr>
              <w:spacing w:beforeAutospacing="1" w:afterAutospacing="1"/>
              <w:jc w:val="right"/>
            </w:pPr>
            <w:r w:rsidRPr="009A146D">
              <w:rPr>
                <w:color w:val="000000"/>
              </w:rPr>
              <w:t>2023</w:t>
            </w:r>
          </w:p>
        </w:tc>
        <w:tc>
          <w:tcPr>
            <w:tcW w:w="990" w:type="dxa"/>
          </w:tcPr>
          <w:p w:rsidRPr="009A146D" w:rsidR="00777D08" w:rsidRDefault="00211F76" w14:paraId="332FF9CB" w14:textId="77777777">
            <w:pPr>
              <w:spacing w:beforeAutospacing="1" w:afterAutospacing="1"/>
            </w:pPr>
            <w:r w:rsidRPr="009A146D">
              <w:rPr>
                <w:color w:val="000000"/>
              </w:rPr>
              <w:t>Non-Housing Community Development</w:t>
            </w:r>
          </w:p>
        </w:tc>
        <w:tc>
          <w:tcPr>
            <w:tcW w:w="1153" w:type="dxa"/>
          </w:tcPr>
          <w:p w:rsidRPr="009A146D" w:rsidR="00777D08" w:rsidRDefault="00211F76" w14:paraId="528EB963" w14:textId="77777777">
            <w:pPr>
              <w:spacing w:beforeAutospacing="1" w:afterAutospacing="1"/>
            </w:pPr>
            <w:r w:rsidRPr="009A146D">
              <w:rPr>
                <w:color w:val="000000"/>
              </w:rPr>
              <w:t>NEIGHBORHOOD REVITALIZATION STRATEGY AREA</w:t>
            </w:r>
          </w:p>
        </w:tc>
        <w:tc>
          <w:tcPr>
            <w:tcW w:w="1684" w:type="dxa"/>
          </w:tcPr>
          <w:p w:rsidRPr="009A146D" w:rsidR="00777D08" w:rsidRDefault="00211F76" w14:paraId="486AE03C" w14:textId="77777777">
            <w:pPr>
              <w:spacing w:beforeAutospacing="1" w:afterAutospacing="1"/>
            </w:pPr>
            <w:r w:rsidRPr="009A146D">
              <w:rPr>
                <w:color w:val="000000"/>
              </w:rPr>
              <w:t>Provide Public Services to At Risk Population</w:t>
            </w:r>
            <w:r w:rsidRPr="009A146D">
              <w:rPr>
                <w:color w:val="000000"/>
              </w:rPr>
              <w:br/>
            </w:r>
            <w:r w:rsidRPr="009A146D">
              <w:rPr>
                <w:color w:val="000000"/>
              </w:rPr>
              <w:t>Protect the Vulnerable</w:t>
            </w:r>
          </w:p>
        </w:tc>
        <w:tc>
          <w:tcPr>
            <w:tcW w:w="1213" w:type="dxa"/>
          </w:tcPr>
          <w:p w:rsidRPr="009A146D" w:rsidR="00777D08" w:rsidRDefault="00211F76" w14:paraId="47292C66" w14:textId="56F4786C">
            <w:pPr>
              <w:spacing w:beforeAutospacing="1" w:afterAutospacing="1"/>
              <w:jc w:val="right"/>
            </w:pPr>
            <w:r w:rsidRPr="009A146D">
              <w:rPr>
                <w:color w:val="000000"/>
              </w:rPr>
              <w:t>CDBG: $</w:t>
            </w:r>
            <w:r w:rsidRPr="009A146D" w:rsidR="00EE7E31">
              <w:rPr>
                <w:color w:val="000000"/>
              </w:rPr>
              <w:t>50,000</w:t>
            </w:r>
          </w:p>
        </w:tc>
        <w:tc>
          <w:tcPr>
            <w:tcW w:w="2246" w:type="dxa"/>
          </w:tcPr>
          <w:p w:rsidRPr="00ED22E1" w:rsidR="00777D08" w:rsidRDefault="00211F76" w14:paraId="11990D4A" w14:textId="44923751">
            <w:pPr>
              <w:spacing w:beforeAutospacing="1" w:afterAutospacing="1"/>
              <w:rPr>
                <w:highlight w:val="lightGray"/>
              </w:rPr>
            </w:pPr>
            <w:r w:rsidRPr="009A146D">
              <w:rPr>
                <w:color w:val="000000"/>
              </w:rPr>
              <w:t xml:space="preserve">Public service activities other than Low/Moderate Income Housing Benefit: </w:t>
            </w:r>
            <w:r w:rsidRPr="009A146D" w:rsidR="00E60F12">
              <w:rPr>
                <w:color w:val="000000"/>
              </w:rPr>
              <w:t>1</w:t>
            </w:r>
            <w:r w:rsidRPr="009A146D" w:rsidR="009A146D">
              <w:rPr>
                <w:color w:val="000000"/>
              </w:rPr>
              <w:t>00</w:t>
            </w:r>
            <w:r w:rsidRPr="009A146D" w:rsidR="00E60F12">
              <w:rPr>
                <w:color w:val="000000"/>
              </w:rPr>
              <w:t xml:space="preserve"> </w:t>
            </w:r>
            <w:r w:rsidRPr="009A146D">
              <w:rPr>
                <w:color w:val="000000"/>
              </w:rPr>
              <w:t>Persons Assisted</w:t>
            </w:r>
          </w:p>
        </w:tc>
      </w:tr>
      <w:tr w:rsidRPr="00ED22E1" w:rsidR="00D72BE4" w:rsidTr="00EF1A90" w14:paraId="15F300F9" w14:textId="77777777">
        <w:trPr>
          <w:cantSplit/>
        </w:trPr>
        <w:tc>
          <w:tcPr>
            <w:tcW w:w="720" w:type="dxa"/>
            <w:shd w:val="clear" w:color="auto" w:fill="auto"/>
          </w:tcPr>
          <w:p w:rsidRPr="00EE7E31" w:rsidR="00777D08" w:rsidRDefault="006834C6" w14:paraId="7E14AB5E" w14:textId="089FBF9D">
            <w:pPr>
              <w:spacing w:beforeAutospacing="1" w:afterAutospacing="1"/>
            </w:pPr>
            <w:r w:rsidRPr="00EE7E31">
              <w:rPr>
                <w:b/>
                <w:color w:val="000000"/>
              </w:rPr>
              <w:t>13</w:t>
            </w:r>
          </w:p>
        </w:tc>
        <w:tc>
          <w:tcPr>
            <w:tcW w:w="1260" w:type="dxa"/>
            <w:shd w:val="clear" w:color="auto" w:fill="auto"/>
          </w:tcPr>
          <w:p w:rsidRPr="00EE7E31" w:rsidR="00777D08" w:rsidRDefault="00211F76" w14:paraId="79FF1E6B" w14:textId="77777777">
            <w:pPr>
              <w:spacing w:beforeAutospacing="1" w:afterAutospacing="1"/>
            </w:pPr>
            <w:r w:rsidRPr="00EE7E31">
              <w:rPr>
                <w:color w:val="000000"/>
              </w:rPr>
              <w:t>SL 1.3 Improve Public Facilities &amp; Infrastructure</w:t>
            </w:r>
          </w:p>
        </w:tc>
        <w:tc>
          <w:tcPr>
            <w:tcW w:w="540" w:type="dxa"/>
            <w:shd w:val="clear" w:color="auto" w:fill="auto"/>
          </w:tcPr>
          <w:p w:rsidRPr="00EE7E31" w:rsidR="00777D08" w:rsidRDefault="00211F76" w14:paraId="4B3EF704" w14:textId="77777777">
            <w:pPr>
              <w:spacing w:beforeAutospacing="1" w:afterAutospacing="1"/>
              <w:jc w:val="right"/>
            </w:pPr>
            <w:r w:rsidRPr="00EE7E31">
              <w:rPr>
                <w:color w:val="000000"/>
              </w:rPr>
              <w:t>2018</w:t>
            </w:r>
          </w:p>
        </w:tc>
        <w:tc>
          <w:tcPr>
            <w:tcW w:w="720" w:type="dxa"/>
            <w:shd w:val="clear" w:color="auto" w:fill="auto"/>
          </w:tcPr>
          <w:p w:rsidRPr="00EE7E31" w:rsidR="00777D08" w:rsidRDefault="00211F76" w14:paraId="49972FF1" w14:textId="77777777">
            <w:pPr>
              <w:spacing w:beforeAutospacing="1" w:afterAutospacing="1"/>
              <w:jc w:val="right"/>
            </w:pPr>
            <w:r w:rsidRPr="00EE7E31">
              <w:rPr>
                <w:color w:val="000000"/>
              </w:rPr>
              <w:t>2022</w:t>
            </w:r>
          </w:p>
        </w:tc>
        <w:tc>
          <w:tcPr>
            <w:tcW w:w="990" w:type="dxa"/>
            <w:shd w:val="clear" w:color="auto" w:fill="auto"/>
          </w:tcPr>
          <w:p w:rsidRPr="00EE7E31" w:rsidR="00777D08" w:rsidRDefault="00211F76" w14:paraId="48170213" w14:textId="77777777">
            <w:pPr>
              <w:spacing w:beforeAutospacing="1" w:afterAutospacing="1"/>
            </w:pPr>
            <w:r w:rsidRPr="00EE7E31">
              <w:rPr>
                <w:color w:val="000000"/>
              </w:rPr>
              <w:t>Non-Housing Community Development</w:t>
            </w:r>
          </w:p>
        </w:tc>
        <w:tc>
          <w:tcPr>
            <w:tcW w:w="1153" w:type="dxa"/>
            <w:shd w:val="clear" w:color="auto" w:fill="auto"/>
          </w:tcPr>
          <w:p w:rsidRPr="00EE7E31" w:rsidR="00777D08" w:rsidRDefault="00211F76" w14:paraId="35B75E5B" w14:textId="77777777">
            <w:pPr>
              <w:spacing w:beforeAutospacing="1" w:afterAutospacing="1"/>
            </w:pPr>
            <w:r w:rsidRPr="00EE7E31">
              <w:rPr>
                <w:color w:val="000000"/>
              </w:rPr>
              <w:t>NEIGHBORHOOD REVITALIZATION STRATEGY AREA</w:t>
            </w:r>
          </w:p>
        </w:tc>
        <w:tc>
          <w:tcPr>
            <w:tcW w:w="1684" w:type="dxa"/>
            <w:shd w:val="clear" w:color="auto" w:fill="auto"/>
          </w:tcPr>
          <w:p w:rsidRPr="00EE7E31" w:rsidR="00777D08" w:rsidRDefault="00211F76" w14:paraId="56AB9F86" w14:textId="77777777">
            <w:pPr>
              <w:spacing w:beforeAutospacing="1" w:afterAutospacing="1"/>
            </w:pPr>
            <w:r w:rsidRPr="00EE7E31">
              <w:rPr>
                <w:color w:val="000000"/>
              </w:rPr>
              <w:t>Improve Public Facilities or Infrastructure</w:t>
            </w:r>
          </w:p>
        </w:tc>
        <w:tc>
          <w:tcPr>
            <w:tcW w:w="1213" w:type="dxa"/>
            <w:shd w:val="clear" w:color="auto" w:fill="auto"/>
          </w:tcPr>
          <w:p w:rsidRPr="00EE7E31" w:rsidR="00F524CD" w:rsidP="00F524CD" w:rsidRDefault="00211F76" w14:paraId="30B8AEBC" w14:textId="11326F1B">
            <w:pPr>
              <w:spacing w:beforeAutospacing="1" w:afterAutospacing="1"/>
              <w:jc w:val="right"/>
              <w:rPr>
                <w:color w:val="000000"/>
              </w:rPr>
            </w:pPr>
            <w:r w:rsidRPr="00EE7E31">
              <w:rPr>
                <w:color w:val="000000"/>
              </w:rPr>
              <w:t>C</w:t>
            </w:r>
            <w:r w:rsidRPr="00EE7E31" w:rsidR="00531B2C">
              <w:rPr>
                <w:color w:val="000000"/>
              </w:rPr>
              <w:t>DBG:</w:t>
            </w:r>
            <w:r w:rsidRPr="00EE7E31" w:rsidR="003A0ACB">
              <w:t xml:space="preserve"> </w:t>
            </w:r>
            <w:r w:rsidRPr="00EE7E31" w:rsidR="00531B2C">
              <w:t>$</w:t>
            </w:r>
            <w:r w:rsidRPr="00EE7E31" w:rsidR="00EE7E31">
              <w:rPr>
                <w:color w:val="000000"/>
              </w:rPr>
              <w:t>0</w:t>
            </w:r>
          </w:p>
          <w:p w:rsidRPr="00EE7E31" w:rsidR="00F524CD" w:rsidP="00F524CD" w:rsidRDefault="00F524CD" w14:paraId="1113C90D" w14:textId="07AAD63F">
            <w:pPr>
              <w:spacing w:beforeAutospacing="1" w:afterAutospacing="1"/>
              <w:jc w:val="right"/>
              <w:rPr>
                <w:color w:val="000000"/>
              </w:rPr>
            </w:pPr>
            <w:r w:rsidRPr="00EE7E31">
              <w:rPr>
                <w:color w:val="000000"/>
              </w:rPr>
              <w:t>HOME: $0</w:t>
            </w:r>
          </w:p>
        </w:tc>
        <w:tc>
          <w:tcPr>
            <w:tcW w:w="2246" w:type="dxa"/>
            <w:shd w:val="clear" w:color="auto" w:fill="auto"/>
          </w:tcPr>
          <w:p w:rsidRPr="00EE7E31" w:rsidR="00777D08" w:rsidRDefault="00211F76" w14:paraId="3F14A461" w14:textId="7C3B335C">
            <w:pPr>
              <w:spacing w:beforeAutospacing="1" w:afterAutospacing="1"/>
            </w:pPr>
            <w:r w:rsidRPr="00EE7E31">
              <w:rPr>
                <w:color w:val="000000"/>
              </w:rPr>
              <w:t xml:space="preserve">Public Facility or Infrastructure Activities other than Low/Moderate Income Housing Benefit: </w:t>
            </w:r>
            <w:r w:rsidRPr="00EE7E31" w:rsidR="00EE7E31">
              <w:rPr>
                <w:color w:val="000000"/>
              </w:rPr>
              <w:t>0</w:t>
            </w:r>
          </w:p>
        </w:tc>
      </w:tr>
      <w:tr w:rsidRPr="00ED22E1" w:rsidR="00D72BE4" w:rsidTr="00EF1A90" w14:paraId="25BF3CF2" w14:textId="77777777">
        <w:trPr>
          <w:cantSplit/>
        </w:trPr>
        <w:tc>
          <w:tcPr>
            <w:tcW w:w="720" w:type="dxa"/>
          </w:tcPr>
          <w:p w:rsidRPr="00A35604" w:rsidR="00777D08" w:rsidRDefault="006834C6" w14:paraId="2678FADE" w14:textId="61EED10E">
            <w:pPr>
              <w:spacing w:beforeAutospacing="1" w:afterAutospacing="1"/>
            </w:pPr>
            <w:r w:rsidRPr="00A35604">
              <w:rPr>
                <w:b/>
                <w:color w:val="000000"/>
              </w:rPr>
              <w:t>14</w:t>
            </w:r>
          </w:p>
        </w:tc>
        <w:tc>
          <w:tcPr>
            <w:tcW w:w="1260" w:type="dxa"/>
          </w:tcPr>
          <w:p w:rsidRPr="00A35604" w:rsidR="00777D08" w:rsidRDefault="00211F76" w14:paraId="0A3CE926" w14:textId="6C4A20B3">
            <w:pPr>
              <w:spacing w:beforeAutospacing="1" w:afterAutospacing="1"/>
            </w:pPr>
            <w:r w:rsidRPr="00A35604">
              <w:rPr>
                <w:color w:val="000000"/>
              </w:rPr>
              <w:t xml:space="preserve">SL 1.4 Remediation </w:t>
            </w:r>
            <w:r w:rsidRPr="00A35604" w:rsidR="00716AF1">
              <w:rPr>
                <w:color w:val="000000"/>
              </w:rPr>
              <w:t>of Brownfields</w:t>
            </w:r>
          </w:p>
        </w:tc>
        <w:tc>
          <w:tcPr>
            <w:tcW w:w="540" w:type="dxa"/>
          </w:tcPr>
          <w:p w:rsidRPr="00A35604" w:rsidR="00777D08" w:rsidRDefault="00211F76" w14:paraId="5DC909C1" w14:textId="77777777">
            <w:pPr>
              <w:spacing w:beforeAutospacing="1" w:afterAutospacing="1"/>
              <w:jc w:val="right"/>
            </w:pPr>
            <w:r w:rsidRPr="00A35604">
              <w:rPr>
                <w:color w:val="000000"/>
              </w:rPr>
              <w:t>2018</w:t>
            </w:r>
          </w:p>
        </w:tc>
        <w:tc>
          <w:tcPr>
            <w:tcW w:w="720" w:type="dxa"/>
          </w:tcPr>
          <w:p w:rsidRPr="00A35604" w:rsidR="00777D08" w:rsidRDefault="00211F76" w14:paraId="04881EBD" w14:textId="77777777">
            <w:pPr>
              <w:spacing w:beforeAutospacing="1" w:afterAutospacing="1"/>
              <w:jc w:val="right"/>
            </w:pPr>
            <w:r w:rsidRPr="00A35604">
              <w:rPr>
                <w:color w:val="000000"/>
              </w:rPr>
              <w:t>2022</w:t>
            </w:r>
          </w:p>
        </w:tc>
        <w:tc>
          <w:tcPr>
            <w:tcW w:w="990" w:type="dxa"/>
          </w:tcPr>
          <w:p w:rsidRPr="00A35604" w:rsidR="00777D08" w:rsidRDefault="00211F76" w14:paraId="750FE22B" w14:textId="77777777">
            <w:pPr>
              <w:spacing w:beforeAutospacing="1" w:afterAutospacing="1"/>
            </w:pPr>
            <w:r w:rsidRPr="00A35604">
              <w:rPr>
                <w:color w:val="000000"/>
              </w:rPr>
              <w:t>Affordable Housing</w:t>
            </w:r>
            <w:r w:rsidRPr="00A35604">
              <w:rPr>
                <w:color w:val="000000"/>
              </w:rPr>
              <w:br/>
            </w:r>
            <w:r w:rsidRPr="00A35604">
              <w:rPr>
                <w:color w:val="000000"/>
              </w:rPr>
              <w:t>Non-Housing Community Development</w:t>
            </w:r>
          </w:p>
        </w:tc>
        <w:tc>
          <w:tcPr>
            <w:tcW w:w="1153" w:type="dxa"/>
          </w:tcPr>
          <w:p w:rsidRPr="00A35604" w:rsidR="00777D08" w:rsidRDefault="00211F76" w14:paraId="7D647D95" w14:textId="77777777">
            <w:pPr>
              <w:spacing w:beforeAutospacing="1" w:afterAutospacing="1"/>
            </w:pPr>
            <w:r w:rsidRPr="00A35604">
              <w:rPr>
                <w:color w:val="000000"/>
              </w:rPr>
              <w:t>NEIGHBORHOOD REVITALIZATION STRATEGY AREA</w:t>
            </w:r>
          </w:p>
        </w:tc>
        <w:tc>
          <w:tcPr>
            <w:tcW w:w="1684" w:type="dxa"/>
          </w:tcPr>
          <w:p w:rsidRPr="00A35604" w:rsidR="00777D08" w:rsidRDefault="00211F76" w14:paraId="1332C7F9" w14:textId="77777777">
            <w:pPr>
              <w:spacing w:beforeAutospacing="1" w:afterAutospacing="1"/>
            </w:pPr>
            <w:r w:rsidRPr="00A35604">
              <w:rPr>
                <w:color w:val="000000"/>
              </w:rPr>
              <w:t>Clean-up of Contaminated Sites</w:t>
            </w:r>
          </w:p>
        </w:tc>
        <w:tc>
          <w:tcPr>
            <w:tcW w:w="1213" w:type="dxa"/>
          </w:tcPr>
          <w:p w:rsidRPr="00A35604" w:rsidR="009273F8" w:rsidP="00CE6272" w:rsidRDefault="00211F76" w14:paraId="649AB557" w14:textId="27D72BAF">
            <w:pPr>
              <w:spacing w:beforeAutospacing="1" w:afterAutospacing="1"/>
              <w:jc w:val="right"/>
              <w:rPr>
                <w:color w:val="000000"/>
              </w:rPr>
            </w:pPr>
            <w:r w:rsidRPr="00A35604">
              <w:rPr>
                <w:color w:val="000000"/>
              </w:rPr>
              <w:t xml:space="preserve">CDBG: </w:t>
            </w:r>
            <w:r w:rsidRPr="00707A8F">
              <w:rPr>
                <w:color w:val="000000"/>
              </w:rPr>
              <w:t>$</w:t>
            </w:r>
            <w:r w:rsidRPr="00707A8F" w:rsidR="009273F8">
              <w:rPr>
                <w:color w:val="000000"/>
              </w:rPr>
              <w:t>2</w:t>
            </w:r>
            <w:r w:rsidRPr="00707A8F" w:rsidR="00975A00">
              <w:rPr>
                <w:color w:val="000000"/>
              </w:rPr>
              <w:t>76,148</w:t>
            </w:r>
          </w:p>
          <w:p w:rsidRPr="00A35604" w:rsidR="00777D08" w:rsidP="00CE6272" w:rsidRDefault="00211F76" w14:paraId="1E2E6544" w14:textId="2198239B">
            <w:pPr>
              <w:spacing w:beforeAutospacing="1" w:afterAutospacing="1"/>
              <w:jc w:val="right"/>
            </w:pPr>
            <w:r w:rsidRPr="00A35604">
              <w:rPr>
                <w:color w:val="000000"/>
              </w:rPr>
              <w:t>HOME: $0</w:t>
            </w:r>
          </w:p>
        </w:tc>
        <w:tc>
          <w:tcPr>
            <w:tcW w:w="2246" w:type="dxa"/>
          </w:tcPr>
          <w:p w:rsidRPr="00ED22E1" w:rsidR="00777D08" w:rsidRDefault="00211F76" w14:paraId="74EF91F4" w14:textId="1CD502F8">
            <w:pPr>
              <w:spacing w:beforeAutospacing="1" w:afterAutospacing="1"/>
              <w:rPr>
                <w:highlight w:val="lightGray"/>
              </w:rPr>
            </w:pPr>
            <w:r w:rsidRPr="00E36BA2">
              <w:rPr>
                <w:color w:val="000000"/>
              </w:rPr>
              <w:t>Brownfield acres remediated: 1 Acre</w:t>
            </w:r>
            <w:r w:rsidRPr="00E36BA2" w:rsidR="009273F8">
              <w:rPr>
                <w:color w:val="000000"/>
              </w:rPr>
              <w:t xml:space="preserve"> </w:t>
            </w:r>
          </w:p>
        </w:tc>
      </w:tr>
      <w:tr w:rsidRPr="00D445AE" w:rsidR="00D72BE4" w:rsidTr="00EF1A90" w14:paraId="578EA07F" w14:textId="77777777">
        <w:trPr>
          <w:cantSplit/>
        </w:trPr>
        <w:tc>
          <w:tcPr>
            <w:tcW w:w="720" w:type="dxa"/>
          </w:tcPr>
          <w:p w:rsidRPr="00D445AE" w:rsidR="00777D08" w:rsidRDefault="006834C6" w14:paraId="3491DAC5" w14:textId="7FFA66E3">
            <w:pPr>
              <w:spacing w:beforeAutospacing="1" w:afterAutospacing="1"/>
            </w:pPr>
            <w:r w:rsidRPr="00D445AE">
              <w:rPr>
                <w:b/>
                <w:color w:val="000000"/>
              </w:rPr>
              <w:lastRenderedPageBreak/>
              <w:t>15</w:t>
            </w:r>
          </w:p>
        </w:tc>
        <w:tc>
          <w:tcPr>
            <w:tcW w:w="1260" w:type="dxa"/>
          </w:tcPr>
          <w:p w:rsidRPr="00D445AE" w:rsidR="00777D08" w:rsidRDefault="00211F76" w14:paraId="5A827CA6" w14:textId="77777777">
            <w:pPr>
              <w:spacing w:beforeAutospacing="1" w:afterAutospacing="1"/>
            </w:pPr>
            <w:r w:rsidRPr="00D445AE">
              <w:rPr>
                <w:color w:val="000000"/>
              </w:rPr>
              <w:t>Planning and Administration</w:t>
            </w:r>
          </w:p>
        </w:tc>
        <w:tc>
          <w:tcPr>
            <w:tcW w:w="540" w:type="dxa"/>
          </w:tcPr>
          <w:p w:rsidRPr="00D445AE" w:rsidR="00777D08" w:rsidRDefault="00211F76" w14:paraId="5AF4D846" w14:textId="77777777">
            <w:pPr>
              <w:spacing w:beforeAutospacing="1" w:afterAutospacing="1"/>
              <w:jc w:val="right"/>
            </w:pPr>
            <w:r w:rsidRPr="00D445AE">
              <w:rPr>
                <w:color w:val="000000"/>
              </w:rPr>
              <w:t>2018</w:t>
            </w:r>
          </w:p>
        </w:tc>
        <w:tc>
          <w:tcPr>
            <w:tcW w:w="720" w:type="dxa"/>
          </w:tcPr>
          <w:p w:rsidRPr="00D445AE" w:rsidR="00777D08" w:rsidRDefault="00211F76" w14:paraId="7E19EBD0" w14:textId="77777777">
            <w:pPr>
              <w:spacing w:beforeAutospacing="1" w:afterAutospacing="1"/>
              <w:jc w:val="right"/>
            </w:pPr>
            <w:r w:rsidRPr="00D445AE">
              <w:rPr>
                <w:color w:val="000000"/>
              </w:rPr>
              <w:t>2022</w:t>
            </w:r>
          </w:p>
        </w:tc>
        <w:tc>
          <w:tcPr>
            <w:tcW w:w="990" w:type="dxa"/>
          </w:tcPr>
          <w:p w:rsidRPr="00D445AE" w:rsidR="00777D08" w:rsidRDefault="00211F76" w14:paraId="43788A77" w14:textId="77777777">
            <w:pPr>
              <w:spacing w:beforeAutospacing="1" w:afterAutospacing="1"/>
            </w:pPr>
            <w:r w:rsidRPr="00D445AE">
              <w:rPr>
                <w:color w:val="000000"/>
              </w:rPr>
              <w:t>Planning, Administration, Fair Housing</w:t>
            </w:r>
          </w:p>
        </w:tc>
        <w:tc>
          <w:tcPr>
            <w:tcW w:w="1153" w:type="dxa"/>
          </w:tcPr>
          <w:p w:rsidRPr="00D445AE" w:rsidR="00777D08" w:rsidRDefault="00211F76" w14:paraId="0264D379" w14:textId="77777777">
            <w:pPr>
              <w:spacing w:beforeAutospacing="1" w:afterAutospacing="1"/>
            </w:pPr>
            <w:r w:rsidRPr="00D445AE">
              <w:rPr>
                <w:color w:val="000000"/>
              </w:rPr>
              <w:t>City-Wide</w:t>
            </w:r>
          </w:p>
        </w:tc>
        <w:tc>
          <w:tcPr>
            <w:tcW w:w="1684" w:type="dxa"/>
          </w:tcPr>
          <w:p w:rsidRPr="00D445AE" w:rsidR="00777D08" w:rsidRDefault="00211F76" w14:paraId="71116D12" w14:textId="77777777">
            <w:pPr>
              <w:spacing w:beforeAutospacing="1" w:afterAutospacing="1"/>
            </w:pPr>
            <w:r w:rsidRPr="00D445AE">
              <w:rPr>
                <w:color w:val="000000"/>
              </w:rPr>
              <w:t>Planning and Administration</w:t>
            </w:r>
          </w:p>
        </w:tc>
        <w:tc>
          <w:tcPr>
            <w:tcW w:w="1213" w:type="dxa"/>
          </w:tcPr>
          <w:p w:rsidRPr="00707A8F" w:rsidR="00777D08" w:rsidP="00DF256B" w:rsidRDefault="00211F76" w14:paraId="44923A83" w14:textId="1A15597F">
            <w:pPr>
              <w:spacing w:beforeAutospacing="1" w:afterAutospacing="1"/>
              <w:jc w:val="right"/>
              <w:rPr>
                <w:color w:val="000000"/>
              </w:rPr>
            </w:pPr>
            <w:r w:rsidRPr="00D445AE">
              <w:rPr>
                <w:color w:val="000000"/>
              </w:rPr>
              <w:t xml:space="preserve">CDBG: </w:t>
            </w:r>
            <w:r w:rsidRPr="00707A8F">
              <w:rPr>
                <w:color w:val="000000"/>
              </w:rPr>
              <w:t>$</w:t>
            </w:r>
            <w:r w:rsidRPr="00707A8F" w:rsidR="000372C0">
              <w:rPr>
                <w:color w:val="000000"/>
              </w:rPr>
              <w:t>15</w:t>
            </w:r>
            <w:r w:rsidRPr="00707A8F" w:rsidR="00DD29F4">
              <w:rPr>
                <w:color w:val="000000"/>
              </w:rPr>
              <w:t>4</w:t>
            </w:r>
            <w:r w:rsidRPr="00707A8F" w:rsidR="00EE7E31">
              <w:rPr>
                <w:color w:val="000000"/>
              </w:rPr>
              <w:t>,</w:t>
            </w:r>
            <w:r w:rsidRPr="00707A8F" w:rsidR="00DD29F4">
              <w:rPr>
                <w:color w:val="000000"/>
              </w:rPr>
              <w:t>192</w:t>
            </w:r>
            <w:r w:rsidRPr="00D445AE">
              <w:rPr>
                <w:color w:val="000000"/>
              </w:rPr>
              <w:br/>
            </w:r>
            <w:r w:rsidRPr="00D445AE">
              <w:rPr>
                <w:color w:val="000000"/>
              </w:rPr>
              <w:t>HOME: $</w:t>
            </w:r>
            <w:r w:rsidRPr="00D445AE" w:rsidR="00D445AE">
              <w:rPr>
                <w:color w:val="000000"/>
              </w:rPr>
              <w:t>41,441</w:t>
            </w:r>
          </w:p>
        </w:tc>
        <w:tc>
          <w:tcPr>
            <w:tcW w:w="2246" w:type="dxa"/>
            <w:shd w:val="clear" w:color="auto" w:fill="auto"/>
          </w:tcPr>
          <w:p w:rsidRPr="00D445AE" w:rsidR="00777D08" w:rsidRDefault="00211F76" w14:paraId="38DB7E72" w14:textId="77777777">
            <w:pPr>
              <w:spacing w:beforeAutospacing="1" w:afterAutospacing="1"/>
            </w:pPr>
            <w:r w:rsidRPr="00D445AE">
              <w:rPr>
                <w:color w:val="000000"/>
              </w:rPr>
              <w:t>Other: 1 Other</w:t>
            </w:r>
          </w:p>
        </w:tc>
      </w:tr>
    </w:tbl>
    <w:bookmarkEnd w:id="4"/>
    <w:p w:rsidRPr="00D445AE" w:rsidR="00777D08" w:rsidRDefault="00211F76" w14:paraId="15B0141C" w14:textId="1352F129">
      <w:pPr>
        <w:pStyle w:val="Caption"/>
        <w:jc w:val="center"/>
        <w:rPr>
          <w:rFonts w:asciiTheme="minorHAnsi" w:hAnsiTheme="minorHAnsi"/>
        </w:rPr>
      </w:pPr>
      <w:r w:rsidRPr="00D445AE">
        <w:rPr>
          <w:rFonts w:asciiTheme="minorHAnsi" w:hAnsiTheme="minorHAnsi"/>
        </w:rPr>
        <w:t xml:space="preserve">Table </w:t>
      </w:r>
      <w:r w:rsidRPr="00D445AE">
        <w:rPr>
          <w:rFonts w:asciiTheme="minorHAnsi" w:hAnsiTheme="minorHAnsi"/>
        </w:rPr>
        <w:fldChar w:fldCharType="begin"/>
      </w:r>
      <w:r w:rsidRPr="00D445AE">
        <w:rPr>
          <w:rFonts w:asciiTheme="minorHAnsi" w:hAnsiTheme="minorHAnsi"/>
        </w:rPr>
        <w:instrText xml:space="preserve"> SEQ Table \* ARABIC </w:instrText>
      </w:r>
      <w:r w:rsidRPr="00D445AE">
        <w:rPr>
          <w:rFonts w:asciiTheme="minorHAnsi" w:hAnsiTheme="minorHAnsi"/>
        </w:rPr>
        <w:fldChar w:fldCharType="separate"/>
      </w:r>
      <w:r w:rsidR="0090766A">
        <w:rPr>
          <w:rFonts w:asciiTheme="minorHAnsi" w:hAnsiTheme="minorHAnsi"/>
          <w:noProof/>
        </w:rPr>
        <w:t>6</w:t>
      </w:r>
      <w:r w:rsidRPr="00D445AE">
        <w:rPr>
          <w:rFonts w:asciiTheme="minorHAnsi" w:hAnsiTheme="minorHAnsi"/>
        </w:rPr>
        <w:fldChar w:fldCharType="end"/>
      </w:r>
      <w:r w:rsidRPr="00D445AE">
        <w:rPr>
          <w:rFonts w:asciiTheme="minorHAnsi" w:hAnsiTheme="minorHAnsi"/>
        </w:rPr>
        <w:t xml:space="preserve"> – Goals Summary</w:t>
      </w:r>
    </w:p>
    <w:p w:rsidRPr="00ED22E1" w:rsidR="00777D08" w:rsidRDefault="00777D08" w14:paraId="1F004633" w14:textId="77777777">
      <w:pPr>
        <w:rPr>
          <w:highlight w:val="lightGray"/>
        </w:rPr>
      </w:pPr>
    </w:p>
    <w:p w:rsidRPr="0066436C" w:rsidR="00777D08" w:rsidRDefault="00211F76" w14:paraId="6891C5B4" w14:textId="77777777">
      <w:pPr>
        <w:rPr>
          <w:b/>
          <w:sz w:val="24"/>
          <w:szCs w:val="24"/>
        </w:rPr>
      </w:pPr>
      <w:r w:rsidRPr="0066436C">
        <w:rPr>
          <w:b/>
          <w:sz w:val="24"/>
          <w:szCs w:val="24"/>
        </w:rPr>
        <w:t>Goal Descriptions</w:t>
      </w:r>
    </w:p>
    <w:p w:rsidRPr="00ED22E1" w:rsidR="00777D08" w:rsidRDefault="00777D08" w14:paraId="3B5A668E" w14:textId="77777777">
      <w:pPr>
        <w:rPr>
          <w:b/>
          <w:sz w:val="24"/>
          <w:szCs w:val="24"/>
          <w:highlight w:val="lightGray"/>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0"/>
        <w:gridCol w:w="1376"/>
        <w:gridCol w:w="7534"/>
      </w:tblGrid>
      <w:tr w:rsidRPr="00ED22E1" w:rsidR="00E60F12" w14:paraId="6DCDF461" w14:textId="77777777">
        <w:trPr>
          <w:cantSplit/>
        </w:trPr>
        <w:tc>
          <w:tcPr>
            <w:tcW w:w="0" w:type="auto"/>
            <w:vMerge w:val="restart"/>
          </w:tcPr>
          <w:p w:rsidRPr="00E22ADD" w:rsidR="00777D08" w:rsidRDefault="00211F76" w14:paraId="161D1919" w14:textId="77777777">
            <w:pPr>
              <w:keepNext/>
              <w:spacing w:before="100" w:after="0"/>
            </w:pPr>
            <w:bookmarkStart w:name="_Hlk68766983" w:id="6"/>
            <w:r w:rsidRPr="00E22ADD">
              <w:rPr>
                <w:b/>
                <w:color w:val="000000"/>
              </w:rPr>
              <w:t>1</w:t>
            </w:r>
          </w:p>
        </w:tc>
        <w:tc>
          <w:tcPr>
            <w:tcW w:w="0" w:type="auto"/>
          </w:tcPr>
          <w:p w:rsidRPr="00E22ADD" w:rsidR="00777D08" w:rsidRDefault="00211F76" w14:paraId="7558A0CE" w14:textId="77777777">
            <w:pPr>
              <w:keepNext/>
              <w:spacing w:before="100" w:after="0"/>
              <w:rPr>
                <w:b/>
              </w:rPr>
            </w:pPr>
            <w:r w:rsidRPr="00E22ADD">
              <w:rPr>
                <w:b/>
              </w:rPr>
              <w:t>Goal Name</w:t>
            </w:r>
          </w:p>
        </w:tc>
        <w:tc>
          <w:tcPr>
            <w:tcW w:w="0" w:type="auto"/>
          </w:tcPr>
          <w:p w:rsidRPr="00E22ADD" w:rsidR="00777D08" w:rsidRDefault="00211F76" w14:paraId="641DFF09" w14:textId="77777777">
            <w:pPr>
              <w:spacing w:before="100" w:after="0"/>
            </w:pPr>
            <w:r w:rsidRPr="00E22ADD">
              <w:rPr>
                <w:color w:val="000000"/>
              </w:rPr>
              <w:t>DH 2.1 Acquire/Rehab - Rental or Owner Units</w:t>
            </w:r>
          </w:p>
        </w:tc>
      </w:tr>
      <w:tr w:rsidRPr="00ED22E1" w:rsidR="00E60F12" w14:paraId="5A661469" w14:textId="77777777">
        <w:trPr>
          <w:cantSplit/>
        </w:trPr>
        <w:tc>
          <w:tcPr>
            <w:tcW w:w="0" w:type="auto"/>
            <w:vMerge/>
          </w:tcPr>
          <w:p w:rsidRPr="00E22ADD" w:rsidR="00777D08" w:rsidRDefault="00777D08" w14:paraId="11250D99" w14:textId="77777777"/>
        </w:tc>
        <w:tc>
          <w:tcPr>
            <w:tcW w:w="0" w:type="auto"/>
          </w:tcPr>
          <w:p w:rsidRPr="00E22ADD" w:rsidR="00777D08" w:rsidRDefault="00211F76" w14:paraId="558770D6" w14:textId="77777777">
            <w:pPr>
              <w:keepNext/>
              <w:spacing w:before="100" w:after="0"/>
              <w:rPr>
                <w:b/>
              </w:rPr>
            </w:pPr>
            <w:r w:rsidRPr="00E22ADD">
              <w:rPr>
                <w:b/>
              </w:rPr>
              <w:t>Goal Description</w:t>
            </w:r>
          </w:p>
        </w:tc>
        <w:tc>
          <w:tcPr>
            <w:tcW w:w="0" w:type="auto"/>
          </w:tcPr>
          <w:p w:rsidRPr="00E22ADD" w:rsidR="00211F76" w:rsidRDefault="00211F76" w14:paraId="6C6C3C91" w14:textId="5C83A7DF">
            <w:pPr>
              <w:spacing w:before="100" w:after="0"/>
            </w:pPr>
            <w:r w:rsidRPr="00E22ADD">
              <w:rPr>
                <w:color w:val="000000"/>
              </w:rPr>
              <w:t>During this Action Plan CDBG funds will be used</w:t>
            </w:r>
            <w:r w:rsidRPr="00E22ADD" w:rsidR="00FC745C">
              <w:rPr>
                <w:color w:val="000000"/>
              </w:rPr>
              <w:t xml:space="preserve"> for </w:t>
            </w:r>
            <w:r w:rsidRPr="00E22ADD">
              <w:rPr>
                <w:color w:val="000000"/>
              </w:rPr>
              <w:t>CEDO's Housing Improvement Program for homeowners. </w:t>
            </w:r>
          </w:p>
        </w:tc>
      </w:tr>
      <w:tr w:rsidRPr="00ED22E1" w:rsidR="00E60F12" w14:paraId="65A632D0" w14:textId="77777777">
        <w:trPr>
          <w:cantSplit/>
        </w:trPr>
        <w:tc>
          <w:tcPr>
            <w:tcW w:w="0" w:type="auto"/>
            <w:vMerge w:val="restart"/>
          </w:tcPr>
          <w:p w:rsidRPr="00C55623" w:rsidR="00777D08" w:rsidRDefault="00211F76" w14:paraId="1929F389" w14:textId="77777777">
            <w:pPr>
              <w:keepNext/>
              <w:spacing w:before="100" w:after="0"/>
            </w:pPr>
            <w:r w:rsidRPr="00C55623">
              <w:rPr>
                <w:b/>
                <w:color w:val="000000"/>
              </w:rPr>
              <w:t>2</w:t>
            </w:r>
          </w:p>
        </w:tc>
        <w:tc>
          <w:tcPr>
            <w:tcW w:w="0" w:type="auto"/>
          </w:tcPr>
          <w:p w:rsidRPr="00C55623" w:rsidR="00777D08" w:rsidRDefault="00211F76" w14:paraId="79709E1E" w14:textId="77777777">
            <w:pPr>
              <w:keepNext/>
              <w:spacing w:before="100" w:after="0"/>
              <w:rPr>
                <w:b/>
              </w:rPr>
            </w:pPr>
            <w:r w:rsidRPr="00C55623">
              <w:rPr>
                <w:b/>
              </w:rPr>
              <w:t>Goal Name</w:t>
            </w:r>
          </w:p>
        </w:tc>
        <w:tc>
          <w:tcPr>
            <w:tcW w:w="0" w:type="auto"/>
          </w:tcPr>
          <w:p w:rsidRPr="00C55623" w:rsidR="00777D08" w:rsidRDefault="00211F76" w14:paraId="706ECC72" w14:textId="77777777">
            <w:pPr>
              <w:spacing w:before="100" w:after="0"/>
            </w:pPr>
            <w:r w:rsidRPr="00C55623">
              <w:rPr>
                <w:color w:val="000000"/>
              </w:rPr>
              <w:t>DH 1.4 Promote new homeownership buyer assist</w:t>
            </w:r>
          </w:p>
        </w:tc>
      </w:tr>
      <w:tr w:rsidRPr="00ED22E1" w:rsidR="00E60F12" w14:paraId="3B1328CC" w14:textId="77777777">
        <w:trPr>
          <w:cantSplit/>
        </w:trPr>
        <w:tc>
          <w:tcPr>
            <w:tcW w:w="0" w:type="auto"/>
            <w:vMerge/>
          </w:tcPr>
          <w:p w:rsidRPr="00C55623" w:rsidR="00777D08" w:rsidRDefault="00777D08" w14:paraId="33F84A14" w14:textId="77777777"/>
        </w:tc>
        <w:tc>
          <w:tcPr>
            <w:tcW w:w="0" w:type="auto"/>
          </w:tcPr>
          <w:p w:rsidRPr="00C55623" w:rsidR="00777D08" w:rsidRDefault="00211F76" w14:paraId="573EA60C" w14:textId="77777777">
            <w:pPr>
              <w:keepNext/>
              <w:spacing w:before="100" w:after="0"/>
              <w:rPr>
                <w:b/>
              </w:rPr>
            </w:pPr>
            <w:r w:rsidRPr="00C55623">
              <w:rPr>
                <w:b/>
              </w:rPr>
              <w:t>Goal Description</w:t>
            </w:r>
          </w:p>
        </w:tc>
        <w:tc>
          <w:tcPr>
            <w:tcW w:w="0" w:type="auto"/>
          </w:tcPr>
          <w:p w:rsidRPr="00C55623" w:rsidR="00777D08" w:rsidRDefault="00211F76" w14:paraId="197510D3" w14:textId="703AF4BF">
            <w:pPr>
              <w:spacing w:before="100" w:after="0"/>
            </w:pPr>
            <w:r w:rsidRPr="00C55623">
              <w:rPr>
                <w:color w:val="000000"/>
              </w:rPr>
              <w:t>Although no CDBG funds will be allocated, it is anticipated that 5 LMI households will achieve homeownership via the Section 8 Homeownership Program or CHT's Shared Equity Program. </w:t>
            </w:r>
          </w:p>
        </w:tc>
      </w:tr>
      <w:tr w:rsidRPr="00ED22E1" w:rsidR="00E60F12" w14:paraId="4839527B" w14:textId="77777777">
        <w:trPr>
          <w:cantSplit/>
        </w:trPr>
        <w:tc>
          <w:tcPr>
            <w:tcW w:w="0" w:type="auto"/>
            <w:vMerge w:val="restart"/>
          </w:tcPr>
          <w:p w:rsidRPr="00F04233" w:rsidR="00777D08" w:rsidRDefault="00211F76" w14:paraId="6910F226" w14:textId="77777777">
            <w:pPr>
              <w:keepNext/>
              <w:spacing w:before="100" w:after="0"/>
            </w:pPr>
            <w:r w:rsidRPr="00F04233">
              <w:rPr>
                <w:b/>
                <w:color w:val="000000"/>
              </w:rPr>
              <w:t>3</w:t>
            </w:r>
          </w:p>
        </w:tc>
        <w:tc>
          <w:tcPr>
            <w:tcW w:w="0" w:type="auto"/>
          </w:tcPr>
          <w:p w:rsidRPr="00F04233" w:rsidR="00777D08" w:rsidRDefault="00211F76" w14:paraId="4A26860D" w14:textId="77777777">
            <w:pPr>
              <w:keepNext/>
              <w:spacing w:before="100" w:after="0"/>
              <w:rPr>
                <w:b/>
              </w:rPr>
            </w:pPr>
            <w:r w:rsidRPr="00F04233">
              <w:rPr>
                <w:b/>
              </w:rPr>
              <w:t>Goal Name</w:t>
            </w:r>
          </w:p>
        </w:tc>
        <w:tc>
          <w:tcPr>
            <w:tcW w:w="0" w:type="auto"/>
          </w:tcPr>
          <w:p w:rsidRPr="00F04233" w:rsidR="00777D08" w:rsidRDefault="00211F76" w14:paraId="42F1904B" w14:textId="77777777">
            <w:pPr>
              <w:spacing w:before="100" w:after="0"/>
            </w:pPr>
            <w:r w:rsidRPr="00F04233">
              <w:rPr>
                <w:color w:val="000000"/>
              </w:rPr>
              <w:t>DH 2.2 Protect the Vulnerable - Lead Hazard</w:t>
            </w:r>
          </w:p>
        </w:tc>
      </w:tr>
      <w:tr w:rsidRPr="00ED22E1" w:rsidR="00E60F12" w14:paraId="0EA3F730" w14:textId="77777777">
        <w:trPr>
          <w:cantSplit/>
        </w:trPr>
        <w:tc>
          <w:tcPr>
            <w:tcW w:w="0" w:type="auto"/>
            <w:vMerge/>
          </w:tcPr>
          <w:p w:rsidRPr="00F04233" w:rsidR="00777D08" w:rsidRDefault="00777D08" w14:paraId="5A1E0C3A" w14:textId="77777777"/>
        </w:tc>
        <w:tc>
          <w:tcPr>
            <w:tcW w:w="0" w:type="auto"/>
          </w:tcPr>
          <w:p w:rsidRPr="00F04233" w:rsidR="00777D08" w:rsidRDefault="00211F76" w14:paraId="4DC7FB37" w14:textId="77777777">
            <w:pPr>
              <w:keepNext/>
              <w:spacing w:before="100" w:after="0"/>
              <w:rPr>
                <w:b/>
              </w:rPr>
            </w:pPr>
            <w:r w:rsidRPr="00F04233">
              <w:rPr>
                <w:b/>
              </w:rPr>
              <w:t>Goal Description</w:t>
            </w:r>
          </w:p>
        </w:tc>
        <w:tc>
          <w:tcPr>
            <w:tcW w:w="0" w:type="auto"/>
          </w:tcPr>
          <w:p w:rsidRPr="00F04233" w:rsidR="00777D08" w:rsidRDefault="00F04233" w14:paraId="0BFD4746" w14:textId="764E9532">
            <w:pPr>
              <w:spacing w:before="100" w:after="0"/>
            </w:pPr>
            <w:r w:rsidRPr="00F04233">
              <w:rPr>
                <w:color w:val="000000"/>
              </w:rPr>
              <w:t>Although no CDBG funds will be allocated d</w:t>
            </w:r>
            <w:r w:rsidRPr="00F04233" w:rsidR="00211F76">
              <w:rPr>
                <w:color w:val="000000"/>
              </w:rPr>
              <w:t>uring this Ac</w:t>
            </w:r>
            <w:r w:rsidRPr="00F04233" w:rsidR="002268A9">
              <w:rPr>
                <w:color w:val="000000"/>
              </w:rPr>
              <w:t xml:space="preserve">tion Plan, </w:t>
            </w:r>
            <w:r w:rsidRPr="00F04233">
              <w:rPr>
                <w:color w:val="000000"/>
              </w:rPr>
              <w:t>40</w:t>
            </w:r>
            <w:r w:rsidRPr="00F04233" w:rsidR="00607E90">
              <w:rPr>
                <w:color w:val="000000"/>
              </w:rPr>
              <w:t xml:space="preserve"> </w:t>
            </w:r>
            <w:r w:rsidRPr="00F04233" w:rsidR="002268A9">
              <w:rPr>
                <w:color w:val="000000"/>
              </w:rPr>
              <w:t xml:space="preserve">rental units and </w:t>
            </w:r>
            <w:r w:rsidRPr="00F04233">
              <w:rPr>
                <w:color w:val="000000"/>
              </w:rPr>
              <w:t>4</w:t>
            </w:r>
            <w:r w:rsidRPr="00F04233" w:rsidR="00211F76">
              <w:rPr>
                <w:color w:val="000000"/>
              </w:rPr>
              <w:t xml:space="preserve"> homeowner units will receive lead hazard reduction services</w:t>
            </w:r>
            <w:r w:rsidRPr="00F04233">
              <w:rPr>
                <w:color w:val="000000"/>
              </w:rPr>
              <w:t xml:space="preserve"> through the 2021 </w:t>
            </w:r>
            <w:r w:rsidRPr="00F04233">
              <w:rPr>
                <w:rFonts w:cs="Arial"/>
              </w:rPr>
              <w:t xml:space="preserve">Lead-Based Paint Hazard Control grant. </w:t>
            </w:r>
          </w:p>
        </w:tc>
      </w:tr>
      <w:tr w:rsidRPr="00ED22E1" w:rsidR="00E60F12" w14:paraId="1DFA4EDC" w14:textId="77777777">
        <w:trPr>
          <w:cantSplit/>
        </w:trPr>
        <w:tc>
          <w:tcPr>
            <w:tcW w:w="0" w:type="auto"/>
            <w:vMerge w:val="restart"/>
          </w:tcPr>
          <w:p w:rsidRPr="00F84DA0" w:rsidR="00777D08" w:rsidRDefault="00211F76" w14:paraId="434EAD1A" w14:textId="77777777">
            <w:pPr>
              <w:keepNext/>
              <w:spacing w:before="100" w:after="0"/>
            </w:pPr>
            <w:r w:rsidRPr="00F84DA0">
              <w:rPr>
                <w:b/>
                <w:color w:val="000000"/>
              </w:rPr>
              <w:t>4</w:t>
            </w:r>
          </w:p>
        </w:tc>
        <w:tc>
          <w:tcPr>
            <w:tcW w:w="0" w:type="auto"/>
          </w:tcPr>
          <w:p w:rsidRPr="00F84DA0" w:rsidR="00777D08" w:rsidRDefault="00211F76" w14:paraId="3C538EEB" w14:textId="77777777">
            <w:pPr>
              <w:keepNext/>
              <w:spacing w:before="100" w:after="0"/>
              <w:rPr>
                <w:b/>
              </w:rPr>
            </w:pPr>
            <w:r w:rsidRPr="00F84DA0">
              <w:rPr>
                <w:b/>
              </w:rPr>
              <w:t>Goal Name</w:t>
            </w:r>
          </w:p>
        </w:tc>
        <w:tc>
          <w:tcPr>
            <w:tcW w:w="0" w:type="auto"/>
          </w:tcPr>
          <w:p w:rsidRPr="00F84DA0" w:rsidR="00777D08" w:rsidRDefault="00211F76" w14:paraId="6C9EAA5B" w14:textId="77777777">
            <w:pPr>
              <w:spacing w:before="100" w:after="0"/>
            </w:pPr>
            <w:r w:rsidRPr="00F84DA0">
              <w:rPr>
                <w:color w:val="000000"/>
              </w:rPr>
              <w:t>DH 1.1 Protect the Vulnerable - New Perm Supp Hous</w:t>
            </w:r>
          </w:p>
        </w:tc>
      </w:tr>
      <w:tr w:rsidRPr="00ED22E1" w:rsidR="00E60F12" w14:paraId="2C836412" w14:textId="77777777">
        <w:trPr>
          <w:cantSplit/>
        </w:trPr>
        <w:tc>
          <w:tcPr>
            <w:tcW w:w="0" w:type="auto"/>
            <w:vMerge/>
          </w:tcPr>
          <w:p w:rsidRPr="00F84DA0" w:rsidR="00CB76B1" w:rsidP="00CB76B1" w:rsidRDefault="00CB76B1" w14:paraId="26B013AF" w14:textId="77777777"/>
        </w:tc>
        <w:tc>
          <w:tcPr>
            <w:tcW w:w="0" w:type="auto"/>
          </w:tcPr>
          <w:p w:rsidRPr="00F84DA0" w:rsidR="00CB76B1" w:rsidP="00CB76B1" w:rsidRDefault="00CB76B1" w14:paraId="4BEFD82C" w14:textId="77777777">
            <w:pPr>
              <w:keepNext/>
              <w:spacing w:before="100" w:after="0"/>
              <w:rPr>
                <w:b/>
              </w:rPr>
            </w:pPr>
            <w:r w:rsidRPr="00F84DA0">
              <w:rPr>
                <w:b/>
              </w:rPr>
              <w:t>Goal Description</w:t>
            </w:r>
          </w:p>
        </w:tc>
        <w:tc>
          <w:tcPr>
            <w:tcW w:w="0" w:type="auto"/>
          </w:tcPr>
          <w:p w:rsidRPr="00F84DA0" w:rsidR="00CB76B1" w:rsidP="00DE6A5B" w:rsidRDefault="00CB76B1" w14:paraId="4B44E148" w14:textId="2F865908">
            <w:pPr>
              <w:spacing w:before="100" w:after="0"/>
            </w:pPr>
            <w:r w:rsidRPr="00F84DA0">
              <w:rPr>
                <w:color w:val="000000"/>
              </w:rPr>
              <w:t xml:space="preserve">During this Action Plan, </w:t>
            </w:r>
            <w:r w:rsidRPr="00F84DA0" w:rsidR="00F84DA0">
              <w:rPr>
                <w:color w:val="000000"/>
              </w:rPr>
              <w:t>no new awards were made.</w:t>
            </w:r>
            <w:r w:rsidRPr="00F84DA0" w:rsidR="00D96715">
              <w:rPr>
                <w:color w:val="000000"/>
              </w:rPr>
              <w:t xml:space="preserve"> </w:t>
            </w:r>
          </w:p>
        </w:tc>
      </w:tr>
      <w:tr w:rsidRPr="00ED22E1" w:rsidR="00E60F12" w14:paraId="6ABF9602" w14:textId="77777777">
        <w:trPr>
          <w:cantSplit/>
        </w:trPr>
        <w:tc>
          <w:tcPr>
            <w:tcW w:w="0" w:type="auto"/>
            <w:vMerge w:val="restart"/>
          </w:tcPr>
          <w:p w:rsidRPr="00847392" w:rsidR="00CB76B1" w:rsidP="00CB76B1" w:rsidRDefault="00CB76B1" w14:paraId="47A2C302" w14:textId="77777777">
            <w:pPr>
              <w:keepNext/>
              <w:spacing w:before="100" w:after="0"/>
            </w:pPr>
            <w:r w:rsidRPr="00847392">
              <w:rPr>
                <w:b/>
                <w:color w:val="000000"/>
              </w:rPr>
              <w:t>5</w:t>
            </w:r>
          </w:p>
        </w:tc>
        <w:tc>
          <w:tcPr>
            <w:tcW w:w="0" w:type="auto"/>
          </w:tcPr>
          <w:p w:rsidRPr="00847392" w:rsidR="00CB76B1" w:rsidP="00CB76B1" w:rsidRDefault="00CB76B1" w14:paraId="4A1FED9B" w14:textId="77777777">
            <w:pPr>
              <w:keepNext/>
              <w:spacing w:before="100" w:after="0"/>
              <w:rPr>
                <w:b/>
              </w:rPr>
            </w:pPr>
            <w:r w:rsidRPr="00847392">
              <w:rPr>
                <w:b/>
              </w:rPr>
              <w:t>Goal Name</w:t>
            </w:r>
          </w:p>
        </w:tc>
        <w:tc>
          <w:tcPr>
            <w:tcW w:w="0" w:type="auto"/>
          </w:tcPr>
          <w:p w:rsidRPr="00847392" w:rsidR="00CB76B1" w:rsidP="00CB76B1" w:rsidRDefault="00CB76B1" w14:paraId="45EB30E5" w14:textId="77777777">
            <w:pPr>
              <w:spacing w:before="100" w:after="0"/>
            </w:pPr>
            <w:r w:rsidRPr="00847392">
              <w:rPr>
                <w:color w:val="000000"/>
              </w:rPr>
              <w:t>DH1.2 Protect the Vulnerable New Special Need Hsng</w:t>
            </w:r>
          </w:p>
        </w:tc>
      </w:tr>
      <w:tr w:rsidRPr="00ED22E1" w:rsidR="00E60F12" w14:paraId="4709BA82" w14:textId="77777777">
        <w:trPr>
          <w:cantSplit/>
        </w:trPr>
        <w:tc>
          <w:tcPr>
            <w:tcW w:w="0" w:type="auto"/>
            <w:vMerge/>
          </w:tcPr>
          <w:p w:rsidRPr="00847392" w:rsidR="00CB76B1" w:rsidP="00CB76B1" w:rsidRDefault="00CB76B1" w14:paraId="52EABC3E" w14:textId="77777777"/>
        </w:tc>
        <w:tc>
          <w:tcPr>
            <w:tcW w:w="0" w:type="auto"/>
          </w:tcPr>
          <w:p w:rsidRPr="00847392" w:rsidR="00CB76B1" w:rsidP="00CB76B1" w:rsidRDefault="00CB76B1" w14:paraId="1244777C" w14:textId="77777777">
            <w:pPr>
              <w:keepNext/>
              <w:spacing w:before="100" w:after="0"/>
              <w:rPr>
                <w:b/>
              </w:rPr>
            </w:pPr>
            <w:r w:rsidRPr="00847392">
              <w:rPr>
                <w:b/>
              </w:rPr>
              <w:t>Goal Description</w:t>
            </w:r>
          </w:p>
        </w:tc>
        <w:tc>
          <w:tcPr>
            <w:tcW w:w="0" w:type="auto"/>
          </w:tcPr>
          <w:p w:rsidRPr="00847392" w:rsidR="00CB76B1" w:rsidP="0021670F" w:rsidRDefault="0021670F" w14:paraId="67A8852B" w14:textId="2834D3EE">
            <w:pPr>
              <w:spacing w:before="100" w:after="0"/>
            </w:pPr>
            <w:r w:rsidRPr="00847392">
              <w:rPr>
                <w:color w:val="000000"/>
              </w:rPr>
              <w:t>During this Action Plan, no new</w:t>
            </w:r>
            <w:r w:rsidR="001A0CD3">
              <w:rPr>
                <w:color w:val="000000"/>
              </w:rPr>
              <w:t xml:space="preserve"> awards</w:t>
            </w:r>
            <w:r w:rsidRPr="00847392">
              <w:rPr>
                <w:color w:val="000000"/>
              </w:rPr>
              <w:t xml:space="preserve"> were made.</w:t>
            </w:r>
          </w:p>
        </w:tc>
      </w:tr>
      <w:tr w:rsidRPr="00ED22E1" w:rsidR="00E60F12" w14:paraId="38D1E014" w14:textId="77777777">
        <w:trPr>
          <w:cantSplit/>
        </w:trPr>
        <w:tc>
          <w:tcPr>
            <w:tcW w:w="0" w:type="auto"/>
            <w:vMerge w:val="restart"/>
          </w:tcPr>
          <w:p w:rsidRPr="00847392" w:rsidR="00CB76B1" w:rsidP="00CB76B1" w:rsidRDefault="00CB76B1" w14:paraId="5B44D8AE" w14:textId="77777777">
            <w:pPr>
              <w:keepNext/>
              <w:spacing w:before="100" w:after="0"/>
            </w:pPr>
            <w:r w:rsidRPr="00847392">
              <w:rPr>
                <w:b/>
                <w:color w:val="000000"/>
              </w:rPr>
              <w:lastRenderedPageBreak/>
              <w:t>6</w:t>
            </w:r>
          </w:p>
        </w:tc>
        <w:tc>
          <w:tcPr>
            <w:tcW w:w="0" w:type="auto"/>
          </w:tcPr>
          <w:p w:rsidRPr="00847392" w:rsidR="00CB76B1" w:rsidP="00CB76B1" w:rsidRDefault="00CB76B1" w14:paraId="7B3961AD" w14:textId="77777777">
            <w:pPr>
              <w:keepNext/>
              <w:spacing w:before="100" w:after="0"/>
              <w:rPr>
                <w:b/>
              </w:rPr>
            </w:pPr>
            <w:r w:rsidRPr="00847392">
              <w:rPr>
                <w:b/>
              </w:rPr>
              <w:t>Goal Name</w:t>
            </w:r>
          </w:p>
        </w:tc>
        <w:tc>
          <w:tcPr>
            <w:tcW w:w="0" w:type="auto"/>
          </w:tcPr>
          <w:p w:rsidRPr="00847392" w:rsidR="00CB76B1" w:rsidP="00CB76B1" w:rsidRDefault="00CB76B1" w14:paraId="63651B36" w14:textId="77777777">
            <w:pPr>
              <w:spacing w:before="100" w:after="0"/>
            </w:pPr>
            <w:r w:rsidRPr="00847392">
              <w:rPr>
                <w:color w:val="000000"/>
              </w:rPr>
              <w:t>DH 1.3 Create New Affordable Housing</w:t>
            </w:r>
          </w:p>
        </w:tc>
      </w:tr>
      <w:tr w:rsidRPr="00ED22E1" w:rsidR="00E60F12" w14:paraId="16448716" w14:textId="77777777">
        <w:trPr>
          <w:cantSplit/>
        </w:trPr>
        <w:tc>
          <w:tcPr>
            <w:tcW w:w="0" w:type="auto"/>
            <w:vMerge/>
          </w:tcPr>
          <w:p w:rsidRPr="00847392" w:rsidR="00CB76B1" w:rsidP="00CB76B1" w:rsidRDefault="00CB76B1" w14:paraId="668E2399" w14:textId="77777777"/>
        </w:tc>
        <w:tc>
          <w:tcPr>
            <w:tcW w:w="0" w:type="auto"/>
          </w:tcPr>
          <w:p w:rsidRPr="00847392" w:rsidR="00CB76B1" w:rsidP="00CB76B1" w:rsidRDefault="00CB76B1" w14:paraId="75F89798" w14:textId="77777777">
            <w:pPr>
              <w:keepNext/>
              <w:spacing w:before="100" w:after="0"/>
              <w:rPr>
                <w:b/>
              </w:rPr>
            </w:pPr>
            <w:r w:rsidRPr="00847392">
              <w:rPr>
                <w:b/>
              </w:rPr>
              <w:t>Goal Description</w:t>
            </w:r>
          </w:p>
        </w:tc>
        <w:tc>
          <w:tcPr>
            <w:tcW w:w="0" w:type="auto"/>
          </w:tcPr>
          <w:p w:rsidRPr="00847392" w:rsidR="00CB76B1" w:rsidP="003075B5" w:rsidRDefault="00CB76B1" w14:paraId="5CDC9B74" w14:textId="57338BBC">
            <w:pPr>
              <w:spacing w:before="100" w:after="0"/>
            </w:pPr>
            <w:r w:rsidRPr="00847392">
              <w:rPr>
                <w:color w:val="000000"/>
              </w:rPr>
              <w:t xml:space="preserve">During this Action Plan </w:t>
            </w:r>
            <w:r w:rsidRPr="00847392" w:rsidR="003075B5">
              <w:rPr>
                <w:color w:val="000000"/>
              </w:rPr>
              <w:t xml:space="preserve">HOME funds will be used for the rehabilitation and/or construction of </w:t>
            </w:r>
            <w:r w:rsidR="00E36BA2">
              <w:rPr>
                <w:color w:val="000000"/>
              </w:rPr>
              <w:t xml:space="preserve">3 </w:t>
            </w:r>
            <w:r w:rsidRPr="00847392" w:rsidR="003075B5">
              <w:rPr>
                <w:color w:val="000000"/>
              </w:rPr>
              <w:t xml:space="preserve">new </w:t>
            </w:r>
            <w:r w:rsidRPr="00847392" w:rsidR="00E61A0A">
              <w:rPr>
                <w:color w:val="000000"/>
              </w:rPr>
              <w:t>affordable housing</w:t>
            </w:r>
            <w:r w:rsidR="00E36BA2">
              <w:rPr>
                <w:color w:val="000000"/>
              </w:rPr>
              <w:t xml:space="preserve"> units. </w:t>
            </w:r>
            <w:r w:rsidRPr="00847392" w:rsidR="00847392">
              <w:rPr>
                <w:color w:val="000000"/>
              </w:rPr>
              <w:t>CHT will be creating 24 new affordable housing units</w:t>
            </w:r>
            <w:r w:rsidR="00847392">
              <w:rPr>
                <w:color w:val="000000"/>
              </w:rPr>
              <w:t xml:space="preserve"> with CDBG funds.</w:t>
            </w:r>
          </w:p>
        </w:tc>
      </w:tr>
      <w:tr w:rsidRPr="00ED22E1" w:rsidR="00E60F12" w14:paraId="6B81824B" w14:textId="77777777">
        <w:trPr>
          <w:cantSplit/>
        </w:trPr>
        <w:tc>
          <w:tcPr>
            <w:tcW w:w="0" w:type="auto"/>
            <w:vMerge w:val="restart"/>
          </w:tcPr>
          <w:p w:rsidRPr="00F844E7" w:rsidR="00F63ABC" w:rsidP="00F63ABC" w:rsidRDefault="006E5F70" w14:paraId="196BD816" w14:textId="461AB11A">
            <w:pPr>
              <w:keepNext/>
              <w:spacing w:before="100" w:after="0"/>
            </w:pPr>
            <w:r w:rsidRPr="00F844E7">
              <w:t>7</w:t>
            </w:r>
          </w:p>
        </w:tc>
        <w:tc>
          <w:tcPr>
            <w:tcW w:w="0" w:type="auto"/>
          </w:tcPr>
          <w:p w:rsidRPr="00F844E7" w:rsidR="00F63ABC" w:rsidP="00F63ABC" w:rsidRDefault="00F63ABC" w14:paraId="594D92BE" w14:textId="77777777">
            <w:pPr>
              <w:keepNext/>
              <w:spacing w:before="100" w:after="0"/>
              <w:rPr>
                <w:b/>
              </w:rPr>
            </w:pPr>
            <w:r w:rsidRPr="00F844E7">
              <w:rPr>
                <w:b/>
              </w:rPr>
              <w:t>Goal Name</w:t>
            </w:r>
          </w:p>
        </w:tc>
        <w:tc>
          <w:tcPr>
            <w:tcW w:w="0" w:type="auto"/>
          </w:tcPr>
          <w:p w:rsidRPr="00F844E7" w:rsidR="00F63ABC" w:rsidP="00F63ABC" w:rsidRDefault="00F63ABC" w14:paraId="10035932" w14:textId="77777777">
            <w:pPr>
              <w:spacing w:before="100" w:after="0"/>
            </w:pPr>
            <w:r w:rsidRPr="00F844E7">
              <w:rPr>
                <w:color w:val="000000"/>
              </w:rPr>
              <w:t>EO 1.1 Support Microenterprises</w:t>
            </w:r>
          </w:p>
        </w:tc>
      </w:tr>
      <w:tr w:rsidRPr="00ED22E1" w:rsidR="00E60F12" w14:paraId="084E6B31" w14:textId="77777777">
        <w:trPr>
          <w:cantSplit/>
        </w:trPr>
        <w:tc>
          <w:tcPr>
            <w:tcW w:w="0" w:type="auto"/>
            <w:vMerge/>
          </w:tcPr>
          <w:p w:rsidRPr="00F844E7" w:rsidR="00F63ABC" w:rsidP="00F63ABC" w:rsidRDefault="00F63ABC" w14:paraId="62705AC0" w14:textId="77777777"/>
        </w:tc>
        <w:tc>
          <w:tcPr>
            <w:tcW w:w="0" w:type="auto"/>
          </w:tcPr>
          <w:p w:rsidRPr="00F844E7" w:rsidR="00F63ABC" w:rsidP="00F63ABC" w:rsidRDefault="00F63ABC" w14:paraId="0B5659FC" w14:textId="77777777">
            <w:pPr>
              <w:keepNext/>
              <w:spacing w:before="100" w:after="0"/>
              <w:rPr>
                <w:b/>
              </w:rPr>
            </w:pPr>
            <w:r w:rsidRPr="00F844E7">
              <w:rPr>
                <w:b/>
              </w:rPr>
              <w:t>Goal Description</w:t>
            </w:r>
          </w:p>
        </w:tc>
        <w:tc>
          <w:tcPr>
            <w:tcW w:w="0" w:type="auto"/>
          </w:tcPr>
          <w:p w:rsidRPr="00F844E7" w:rsidR="00F63ABC" w:rsidP="00F63ABC" w:rsidRDefault="00F63ABC" w14:paraId="0AC6D10C" w14:textId="5F2AD692">
            <w:pPr>
              <w:spacing w:before="100" w:after="0"/>
            </w:pPr>
            <w:r w:rsidRPr="00F844E7">
              <w:rPr>
                <w:color w:val="000000"/>
              </w:rPr>
              <w:t xml:space="preserve">During this Action Plan, the City will allocate CDBG funds to </w:t>
            </w:r>
            <w:r w:rsidR="00F844E7">
              <w:rPr>
                <w:color w:val="000000"/>
              </w:rPr>
              <w:t xml:space="preserve">two </w:t>
            </w:r>
            <w:r w:rsidRPr="00F844E7">
              <w:rPr>
                <w:color w:val="000000"/>
              </w:rPr>
              <w:t>microenterprise programs</w:t>
            </w:r>
            <w:r w:rsidR="00F844E7">
              <w:rPr>
                <w:color w:val="000000"/>
              </w:rPr>
              <w:t>, CVOEO-Financial Futures: Micro Business Development and Mercy Connections-Women’s Small Business Program,</w:t>
            </w:r>
            <w:r w:rsidRPr="00F844E7">
              <w:rPr>
                <w:color w:val="000000"/>
              </w:rPr>
              <w:t xml:space="preserve"> with a focus on women, and other small businesses</w:t>
            </w:r>
            <w:r w:rsidR="00AE3CEE">
              <w:rPr>
                <w:color w:val="000000"/>
              </w:rPr>
              <w:t xml:space="preserve">. </w:t>
            </w:r>
          </w:p>
        </w:tc>
      </w:tr>
      <w:tr w:rsidRPr="00ED22E1" w:rsidR="00E60F12" w14:paraId="7A12C14A" w14:textId="77777777">
        <w:trPr>
          <w:cantSplit/>
        </w:trPr>
        <w:tc>
          <w:tcPr>
            <w:tcW w:w="0" w:type="auto"/>
            <w:vMerge w:val="restart"/>
          </w:tcPr>
          <w:p w:rsidRPr="00AE3CEE" w:rsidR="00F63ABC" w:rsidP="00F63ABC" w:rsidRDefault="006E5F70" w14:paraId="4372E242" w14:textId="74090184">
            <w:pPr>
              <w:keepNext/>
              <w:spacing w:before="100" w:after="0"/>
            </w:pPr>
            <w:r w:rsidRPr="00AE3CEE">
              <w:rPr>
                <w:b/>
                <w:color w:val="000000"/>
              </w:rPr>
              <w:t>8</w:t>
            </w:r>
          </w:p>
        </w:tc>
        <w:tc>
          <w:tcPr>
            <w:tcW w:w="0" w:type="auto"/>
          </w:tcPr>
          <w:p w:rsidRPr="00AE3CEE" w:rsidR="00F63ABC" w:rsidP="00F63ABC" w:rsidRDefault="00F63ABC" w14:paraId="295EE54E" w14:textId="77777777">
            <w:pPr>
              <w:keepNext/>
              <w:spacing w:before="100" w:after="0"/>
              <w:rPr>
                <w:b/>
              </w:rPr>
            </w:pPr>
            <w:r w:rsidRPr="00AE3CEE">
              <w:rPr>
                <w:b/>
              </w:rPr>
              <w:t>Goal Name</w:t>
            </w:r>
          </w:p>
        </w:tc>
        <w:tc>
          <w:tcPr>
            <w:tcW w:w="0" w:type="auto"/>
          </w:tcPr>
          <w:p w:rsidRPr="00AE3CEE" w:rsidR="00F63ABC" w:rsidP="00F63ABC" w:rsidRDefault="00F63ABC" w14:paraId="388FA752" w14:textId="77777777">
            <w:pPr>
              <w:spacing w:before="100" w:after="0"/>
            </w:pPr>
            <w:r w:rsidRPr="00AE3CEE">
              <w:rPr>
                <w:color w:val="000000"/>
              </w:rPr>
              <w:t>EO 1.2 Retain/Create Jobs</w:t>
            </w:r>
          </w:p>
        </w:tc>
      </w:tr>
      <w:tr w:rsidRPr="00ED22E1" w:rsidR="00E60F12" w14:paraId="7B9C0774" w14:textId="77777777">
        <w:trPr>
          <w:cantSplit/>
        </w:trPr>
        <w:tc>
          <w:tcPr>
            <w:tcW w:w="0" w:type="auto"/>
            <w:vMerge/>
          </w:tcPr>
          <w:p w:rsidRPr="00AE3CEE" w:rsidR="00F63ABC" w:rsidP="00F63ABC" w:rsidRDefault="00F63ABC" w14:paraId="3C8E1F2E" w14:textId="77777777"/>
        </w:tc>
        <w:tc>
          <w:tcPr>
            <w:tcW w:w="0" w:type="auto"/>
          </w:tcPr>
          <w:p w:rsidRPr="00AE3CEE" w:rsidR="00F63ABC" w:rsidP="00F63ABC" w:rsidRDefault="00F63ABC" w14:paraId="334F05BF" w14:textId="77777777">
            <w:pPr>
              <w:keepNext/>
              <w:spacing w:before="100" w:after="0"/>
              <w:rPr>
                <w:b/>
              </w:rPr>
            </w:pPr>
            <w:r w:rsidRPr="00AE3CEE">
              <w:rPr>
                <w:b/>
              </w:rPr>
              <w:t>Goal Description</w:t>
            </w:r>
          </w:p>
        </w:tc>
        <w:tc>
          <w:tcPr>
            <w:tcW w:w="0" w:type="auto"/>
          </w:tcPr>
          <w:p w:rsidRPr="00AE3CEE" w:rsidR="00F63ABC" w:rsidP="00F63ABC" w:rsidRDefault="00F63ABC" w14:paraId="799C48A6" w14:textId="77777777">
            <w:pPr>
              <w:spacing w:before="100" w:after="0"/>
            </w:pPr>
            <w:r w:rsidRPr="00AE3CEE">
              <w:rPr>
                <w:color w:val="000000"/>
              </w:rPr>
              <w:t>Although no CDBG funds will be allocated, CEDO's Sustainable Economic Development program will deliver revolving loans and technical assistance to larger businesses who will retain or create jobs. </w:t>
            </w:r>
          </w:p>
        </w:tc>
      </w:tr>
      <w:tr w:rsidRPr="00ED22E1" w:rsidR="00E60F12" w14:paraId="682A81C2" w14:textId="77777777">
        <w:trPr>
          <w:cantSplit/>
        </w:trPr>
        <w:tc>
          <w:tcPr>
            <w:tcW w:w="0" w:type="auto"/>
            <w:vMerge w:val="restart"/>
          </w:tcPr>
          <w:p w:rsidRPr="002F28A2" w:rsidR="00F63ABC" w:rsidP="00F63ABC" w:rsidRDefault="006E5F70" w14:paraId="2BD6F6C9" w14:textId="7FE6CE02">
            <w:pPr>
              <w:keepNext/>
              <w:spacing w:before="100" w:after="0"/>
            </w:pPr>
            <w:r w:rsidRPr="002F28A2">
              <w:rPr>
                <w:b/>
                <w:color w:val="000000"/>
              </w:rPr>
              <w:t>9</w:t>
            </w:r>
          </w:p>
        </w:tc>
        <w:tc>
          <w:tcPr>
            <w:tcW w:w="0" w:type="auto"/>
          </w:tcPr>
          <w:p w:rsidRPr="002F28A2" w:rsidR="00F63ABC" w:rsidP="00F63ABC" w:rsidRDefault="00F63ABC" w14:paraId="70C64A6B" w14:textId="77777777">
            <w:pPr>
              <w:keepNext/>
              <w:spacing w:before="100" w:after="0"/>
              <w:rPr>
                <w:b/>
              </w:rPr>
            </w:pPr>
            <w:r w:rsidRPr="002F28A2">
              <w:rPr>
                <w:b/>
              </w:rPr>
              <w:t>Goal Name</w:t>
            </w:r>
          </w:p>
        </w:tc>
        <w:tc>
          <w:tcPr>
            <w:tcW w:w="0" w:type="auto"/>
          </w:tcPr>
          <w:p w:rsidRPr="002F28A2" w:rsidR="00F63ABC" w:rsidP="00F63ABC" w:rsidRDefault="00F63ABC" w14:paraId="0221DD11" w14:textId="77777777">
            <w:pPr>
              <w:spacing w:before="100" w:after="0"/>
            </w:pPr>
            <w:r w:rsidRPr="002F28A2">
              <w:rPr>
                <w:color w:val="000000"/>
              </w:rPr>
              <w:t>EO 1.3 Reduce Economic Barriers - Early Childhood</w:t>
            </w:r>
          </w:p>
        </w:tc>
      </w:tr>
      <w:tr w:rsidRPr="00ED22E1" w:rsidR="00E60F12" w14:paraId="350CA686" w14:textId="77777777">
        <w:trPr>
          <w:cantSplit/>
        </w:trPr>
        <w:tc>
          <w:tcPr>
            <w:tcW w:w="0" w:type="auto"/>
            <w:vMerge/>
          </w:tcPr>
          <w:p w:rsidRPr="002F28A2" w:rsidR="00F63ABC" w:rsidP="00F63ABC" w:rsidRDefault="00F63ABC" w14:paraId="41C0CC3E" w14:textId="77777777"/>
        </w:tc>
        <w:tc>
          <w:tcPr>
            <w:tcW w:w="0" w:type="auto"/>
          </w:tcPr>
          <w:p w:rsidRPr="002F28A2" w:rsidR="00F63ABC" w:rsidP="00F63ABC" w:rsidRDefault="00F63ABC" w14:paraId="1C682C0F" w14:textId="77777777">
            <w:pPr>
              <w:keepNext/>
              <w:spacing w:before="100" w:after="0"/>
              <w:rPr>
                <w:b/>
              </w:rPr>
            </w:pPr>
            <w:r w:rsidRPr="002F28A2">
              <w:rPr>
                <w:b/>
              </w:rPr>
              <w:t>Goal Description</w:t>
            </w:r>
          </w:p>
        </w:tc>
        <w:tc>
          <w:tcPr>
            <w:tcW w:w="0" w:type="auto"/>
          </w:tcPr>
          <w:p w:rsidRPr="002F28A2" w:rsidR="00F63ABC" w:rsidRDefault="00F63ABC" w14:paraId="636F0481" w14:textId="1C226D63">
            <w:pPr>
              <w:spacing w:before="100" w:after="0"/>
            </w:pPr>
            <w:r w:rsidRPr="002F28A2">
              <w:rPr>
                <w:color w:val="000000"/>
              </w:rPr>
              <w:t>During this Action Plan, no new CDBG funds have been allocated to early childhood education programs. </w:t>
            </w:r>
          </w:p>
        </w:tc>
      </w:tr>
      <w:tr w:rsidRPr="00ED22E1" w:rsidR="00E60F12" w14:paraId="67A67778" w14:textId="77777777">
        <w:trPr>
          <w:cantSplit/>
        </w:trPr>
        <w:tc>
          <w:tcPr>
            <w:tcW w:w="0" w:type="auto"/>
            <w:vMerge w:val="restart"/>
          </w:tcPr>
          <w:p w:rsidRPr="00AE3CEE" w:rsidR="00F63ABC" w:rsidP="00F63ABC" w:rsidRDefault="006E5F70" w14:paraId="415D3E78" w14:textId="54EEE569">
            <w:pPr>
              <w:keepNext/>
              <w:spacing w:before="100" w:after="0"/>
            </w:pPr>
            <w:r w:rsidRPr="00AE3CEE">
              <w:rPr>
                <w:b/>
                <w:color w:val="000000"/>
              </w:rPr>
              <w:t>10</w:t>
            </w:r>
          </w:p>
        </w:tc>
        <w:tc>
          <w:tcPr>
            <w:tcW w:w="0" w:type="auto"/>
          </w:tcPr>
          <w:p w:rsidRPr="00AE3CEE" w:rsidR="00F63ABC" w:rsidP="00F63ABC" w:rsidRDefault="00F63ABC" w14:paraId="313248A1" w14:textId="77777777">
            <w:pPr>
              <w:keepNext/>
              <w:spacing w:before="100" w:after="0"/>
              <w:rPr>
                <w:b/>
              </w:rPr>
            </w:pPr>
            <w:r w:rsidRPr="00AE3CEE">
              <w:rPr>
                <w:b/>
              </w:rPr>
              <w:t>Goal Name</w:t>
            </w:r>
          </w:p>
        </w:tc>
        <w:tc>
          <w:tcPr>
            <w:tcW w:w="0" w:type="auto"/>
          </w:tcPr>
          <w:p w:rsidRPr="00AE3CEE" w:rsidR="00F63ABC" w:rsidP="00F63ABC" w:rsidRDefault="00F63ABC" w14:paraId="71190374" w14:textId="77777777">
            <w:pPr>
              <w:spacing w:before="100" w:after="0"/>
            </w:pPr>
            <w:r w:rsidRPr="00AE3CEE">
              <w:rPr>
                <w:color w:val="000000"/>
              </w:rPr>
              <w:t>EO 1.4 Reduce Economic Barriers - Access Resources</w:t>
            </w:r>
          </w:p>
        </w:tc>
      </w:tr>
      <w:tr w:rsidRPr="00ED22E1" w:rsidR="00E60F12" w14:paraId="31F91F77" w14:textId="77777777">
        <w:trPr>
          <w:cantSplit/>
        </w:trPr>
        <w:tc>
          <w:tcPr>
            <w:tcW w:w="0" w:type="auto"/>
            <w:vMerge/>
          </w:tcPr>
          <w:p w:rsidRPr="00AE3CEE" w:rsidR="00F63ABC" w:rsidP="00F63ABC" w:rsidRDefault="00F63ABC" w14:paraId="78421A05" w14:textId="77777777"/>
        </w:tc>
        <w:tc>
          <w:tcPr>
            <w:tcW w:w="0" w:type="auto"/>
          </w:tcPr>
          <w:p w:rsidRPr="00AE3CEE" w:rsidR="00F63ABC" w:rsidP="00F63ABC" w:rsidRDefault="00F63ABC" w14:paraId="1AED3372" w14:textId="77777777">
            <w:pPr>
              <w:keepNext/>
              <w:spacing w:before="100" w:after="0"/>
              <w:rPr>
                <w:b/>
              </w:rPr>
            </w:pPr>
            <w:r w:rsidRPr="00AE3CEE">
              <w:rPr>
                <w:b/>
              </w:rPr>
              <w:t>Goal Description</w:t>
            </w:r>
          </w:p>
        </w:tc>
        <w:tc>
          <w:tcPr>
            <w:tcW w:w="0" w:type="auto"/>
          </w:tcPr>
          <w:p w:rsidRPr="00AE3CEE" w:rsidR="00F63ABC" w:rsidP="00F63ABC" w:rsidRDefault="00F63ABC" w14:paraId="18DB592F" w14:textId="27308B25">
            <w:pPr>
              <w:spacing w:before="100" w:after="0"/>
            </w:pPr>
            <w:r w:rsidRPr="00AE3CEE">
              <w:rPr>
                <w:color w:val="000000"/>
              </w:rPr>
              <w:t>During this Action Plan, CDBG funds have been allocated to two workforce development programs and the Volunteer Income Tax Assistance program to reduce barriers to economic resources and opportunities. </w:t>
            </w:r>
          </w:p>
        </w:tc>
      </w:tr>
      <w:tr w:rsidRPr="00ED22E1" w:rsidR="00E60F12" w:rsidTr="007338B8" w14:paraId="3190C37C" w14:textId="77777777">
        <w:trPr>
          <w:cantSplit/>
        </w:trPr>
        <w:tc>
          <w:tcPr>
            <w:tcW w:w="0" w:type="auto"/>
            <w:vMerge w:val="restart"/>
            <w:shd w:val="clear" w:color="auto" w:fill="auto"/>
          </w:tcPr>
          <w:p w:rsidRPr="007338B8" w:rsidR="00F63ABC" w:rsidP="00F63ABC" w:rsidRDefault="006E5F70" w14:paraId="3D38E555" w14:textId="4B95CA5F">
            <w:pPr>
              <w:keepNext/>
              <w:spacing w:before="100" w:after="0"/>
            </w:pPr>
            <w:r w:rsidRPr="007338B8">
              <w:rPr>
                <w:b/>
                <w:color w:val="000000"/>
              </w:rPr>
              <w:t>11</w:t>
            </w:r>
          </w:p>
        </w:tc>
        <w:tc>
          <w:tcPr>
            <w:tcW w:w="0" w:type="auto"/>
            <w:shd w:val="clear" w:color="auto" w:fill="auto"/>
          </w:tcPr>
          <w:p w:rsidRPr="007338B8" w:rsidR="00F63ABC" w:rsidP="00F63ABC" w:rsidRDefault="00F63ABC" w14:paraId="4AC2C432" w14:textId="77777777">
            <w:pPr>
              <w:keepNext/>
              <w:spacing w:before="100" w:after="0"/>
              <w:rPr>
                <w:b/>
              </w:rPr>
            </w:pPr>
            <w:r w:rsidRPr="007338B8">
              <w:rPr>
                <w:b/>
              </w:rPr>
              <w:t>Goal Name</w:t>
            </w:r>
          </w:p>
        </w:tc>
        <w:tc>
          <w:tcPr>
            <w:tcW w:w="0" w:type="auto"/>
            <w:shd w:val="clear" w:color="auto" w:fill="auto"/>
          </w:tcPr>
          <w:p w:rsidRPr="007338B8" w:rsidR="00F63ABC" w:rsidP="00F63ABC" w:rsidRDefault="00F63ABC" w14:paraId="2CED9598" w14:textId="77777777">
            <w:pPr>
              <w:spacing w:before="100" w:after="0"/>
            </w:pPr>
            <w:r w:rsidRPr="007338B8">
              <w:rPr>
                <w:color w:val="000000"/>
              </w:rPr>
              <w:t>SL 1.1 Provide Public Services Homeless</w:t>
            </w:r>
          </w:p>
        </w:tc>
      </w:tr>
      <w:tr w:rsidRPr="00ED22E1" w:rsidR="00E60F12" w:rsidTr="007338B8" w14:paraId="04E6C1F5" w14:textId="77777777">
        <w:trPr>
          <w:cantSplit/>
        </w:trPr>
        <w:tc>
          <w:tcPr>
            <w:tcW w:w="0" w:type="auto"/>
            <w:vMerge/>
            <w:shd w:val="clear" w:color="auto" w:fill="auto"/>
          </w:tcPr>
          <w:p w:rsidRPr="007338B8" w:rsidR="00F63ABC" w:rsidP="00F63ABC" w:rsidRDefault="00F63ABC" w14:paraId="19A828AB" w14:textId="77777777"/>
        </w:tc>
        <w:tc>
          <w:tcPr>
            <w:tcW w:w="0" w:type="auto"/>
            <w:shd w:val="clear" w:color="auto" w:fill="auto"/>
          </w:tcPr>
          <w:p w:rsidRPr="007338B8" w:rsidR="00F63ABC" w:rsidP="00F63ABC" w:rsidRDefault="00F63ABC" w14:paraId="632CD992" w14:textId="77777777">
            <w:pPr>
              <w:keepNext/>
              <w:spacing w:before="100" w:after="0"/>
              <w:rPr>
                <w:b/>
              </w:rPr>
            </w:pPr>
            <w:r w:rsidRPr="007338B8">
              <w:rPr>
                <w:b/>
              </w:rPr>
              <w:t>Goal Description</w:t>
            </w:r>
          </w:p>
        </w:tc>
        <w:tc>
          <w:tcPr>
            <w:tcW w:w="0" w:type="auto"/>
            <w:shd w:val="clear" w:color="auto" w:fill="auto"/>
          </w:tcPr>
          <w:p w:rsidRPr="007338B8" w:rsidR="00F63ABC" w:rsidP="00F63ABC" w:rsidRDefault="00F63ABC" w14:paraId="4AA3B1BF" w14:textId="50A08DF9">
            <w:pPr>
              <w:spacing w:before="100" w:after="0"/>
            </w:pPr>
            <w:r w:rsidRPr="007338B8">
              <w:rPr>
                <w:color w:val="000000"/>
              </w:rPr>
              <w:t xml:space="preserve">During this Action Plan, CDBG will fund a program </w:t>
            </w:r>
            <w:r w:rsidRPr="007338B8" w:rsidR="007338B8">
              <w:rPr>
                <w:color w:val="000000"/>
              </w:rPr>
              <w:t xml:space="preserve">to </w:t>
            </w:r>
            <w:r w:rsidRPr="007338B8">
              <w:rPr>
                <w:color w:val="000000"/>
              </w:rPr>
              <w:t>provide</w:t>
            </w:r>
            <w:r w:rsidRPr="007338B8" w:rsidR="007338B8">
              <w:rPr>
                <w:color w:val="000000"/>
              </w:rPr>
              <w:t xml:space="preserve"> permanent housing placement and</w:t>
            </w:r>
            <w:r w:rsidRPr="007338B8">
              <w:rPr>
                <w:color w:val="000000"/>
              </w:rPr>
              <w:t xml:space="preserve"> </w:t>
            </w:r>
            <w:r w:rsidRPr="007338B8" w:rsidR="007338B8">
              <w:rPr>
                <w:color w:val="000000"/>
              </w:rPr>
              <w:t>H</w:t>
            </w:r>
            <w:r w:rsidRPr="007338B8">
              <w:rPr>
                <w:color w:val="000000"/>
              </w:rPr>
              <w:t xml:space="preserve">ousing </w:t>
            </w:r>
            <w:r w:rsidRPr="007338B8" w:rsidR="007338B8">
              <w:rPr>
                <w:color w:val="000000"/>
              </w:rPr>
              <w:t>F</w:t>
            </w:r>
            <w:r w:rsidRPr="007338B8">
              <w:rPr>
                <w:color w:val="000000"/>
              </w:rPr>
              <w:t>irst case management services for persons experiencing homelessness</w:t>
            </w:r>
            <w:r w:rsidRPr="007338B8" w:rsidR="007338B8">
              <w:rPr>
                <w:color w:val="000000"/>
              </w:rPr>
              <w:t>.</w:t>
            </w:r>
          </w:p>
        </w:tc>
      </w:tr>
      <w:tr w:rsidRPr="00ED22E1" w:rsidR="00E60F12" w14:paraId="54ED8604" w14:textId="77777777">
        <w:trPr>
          <w:cantSplit/>
        </w:trPr>
        <w:tc>
          <w:tcPr>
            <w:tcW w:w="0" w:type="auto"/>
            <w:vMerge w:val="restart"/>
          </w:tcPr>
          <w:p w:rsidRPr="001F02E8" w:rsidR="00F63ABC" w:rsidP="00F63ABC" w:rsidRDefault="00F63ABC" w14:paraId="23AB981E" w14:textId="696F4F8B">
            <w:pPr>
              <w:keepNext/>
              <w:spacing w:before="100" w:after="0"/>
            </w:pPr>
            <w:r w:rsidRPr="001F02E8">
              <w:rPr>
                <w:b/>
                <w:color w:val="000000"/>
              </w:rPr>
              <w:t>1</w:t>
            </w:r>
            <w:r w:rsidRPr="001F02E8" w:rsidR="006E5F70">
              <w:rPr>
                <w:b/>
                <w:color w:val="000000"/>
              </w:rPr>
              <w:t>2</w:t>
            </w:r>
          </w:p>
        </w:tc>
        <w:tc>
          <w:tcPr>
            <w:tcW w:w="0" w:type="auto"/>
          </w:tcPr>
          <w:p w:rsidRPr="001F02E8" w:rsidR="00F63ABC" w:rsidP="00F63ABC" w:rsidRDefault="00F63ABC" w14:paraId="08F76EA6" w14:textId="77777777">
            <w:pPr>
              <w:keepNext/>
              <w:spacing w:before="100" w:after="0"/>
              <w:rPr>
                <w:b/>
              </w:rPr>
            </w:pPr>
            <w:r w:rsidRPr="001F02E8">
              <w:rPr>
                <w:b/>
              </w:rPr>
              <w:t>Goal Name</w:t>
            </w:r>
          </w:p>
        </w:tc>
        <w:tc>
          <w:tcPr>
            <w:tcW w:w="0" w:type="auto"/>
          </w:tcPr>
          <w:p w:rsidRPr="001F02E8" w:rsidR="00F63ABC" w:rsidP="00F63ABC" w:rsidRDefault="00F63ABC" w14:paraId="175C8F2E" w14:textId="77777777">
            <w:pPr>
              <w:spacing w:before="100" w:after="0"/>
            </w:pPr>
            <w:r w:rsidRPr="001F02E8">
              <w:rPr>
                <w:color w:val="000000"/>
              </w:rPr>
              <w:t>SL 1.2 Provide Public Services</w:t>
            </w:r>
          </w:p>
        </w:tc>
      </w:tr>
      <w:tr w:rsidRPr="00ED22E1" w:rsidR="00E60F12" w14:paraId="3DE93480" w14:textId="77777777">
        <w:trPr>
          <w:cantSplit/>
        </w:trPr>
        <w:tc>
          <w:tcPr>
            <w:tcW w:w="0" w:type="auto"/>
            <w:vMerge/>
          </w:tcPr>
          <w:p w:rsidRPr="001F02E8" w:rsidR="00F63ABC" w:rsidP="00F63ABC" w:rsidRDefault="00F63ABC" w14:paraId="373B2B09" w14:textId="77777777"/>
        </w:tc>
        <w:tc>
          <w:tcPr>
            <w:tcW w:w="0" w:type="auto"/>
          </w:tcPr>
          <w:p w:rsidRPr="001F02E8" w:rsidR="00F63ABC" w:rsidP="00F63ABC" w:rsidRDefault="00F63ABC" w14:paraId="73EEBB1A" w14:textId="77777777">
            <w:pPr>
              <w:keepNext/>
              <w:spacing w:before="100" w:after="0"/>
              <w:rPr>
                <w:b/>
              </w:rPr>
            </w:pPr>
            <w:r w:rsidRPr="001F02E8">
              <w:rPr>
                <w:b/>
              </w:rPr>
              <w:t>Goal Description</w:t>
            </w:r>
          </w:p>
        </w:tc>
        <w:tc>
          <w:tcPr>
            <w:tcW w:w="0" w:type="auto"/>
          </w:tcPr>
          <w:p w:rsidRPr="001F02E8" w:rsidR="00F63ABC" w:rsidRDefault="00E60F12" w14:paraId="288CD58C" w14:textId="4F43D0E9">
            <w:pPr>
              <w:spacing w:before="100" w:after="0"/>
            </w:pPr>
            <w:r w:rsidRPr="001F02E8">
              <w:rPr>
                <w:color w:val="000000"/>
              </w:rPr>
              <w:t xml:space="preserve">During this Action Plan, </w:t>
            </w:r>
            <w:r w:rsidRPr="001F02E8" w:rsidR="001F02E8">
              <w:rPr>
                <w:color w:val="000000"/>
              </w:rPr>
              <w:t xml:space="preserve">CDBG will fund </w:t>
            </w:r>
            <w:r w:rsidR="001F02E8">
              <w:rPr>
                <w:color w:val="000000"/>
              </w:rPr>
              <w:t>Sara Holbrook Community Center-Elementary Enrichment Program, quality out of school care for students in grades K-5</w:t>
            </w:r>
            <w:r w:rsidR="00A32EF5">
              <w:rPr>
                <w:color w:val="000000"/>
              </w:rPr>
              <w:t xml:space="preserve">, this is a 2-year program. </w:t>
            </w:r>
          </w:p>
        </w:tc>
      </w:tr>
      <w:tr w:rsidRPr="00ED22E1" w:rsidR="00E60F12" w14:paraId="6E26B4EE" w14:textId="77777777">
        <w:trPr>
          <w:cantSplit/>
        </w:trPr>
        <w:tc>
          <w:tcPr>
            <w:tcW w:w="0" w:type="auto"/>
            <w:vMerge w:val="restart"/>
          </w:tcPr>
          <w:p w:rsidRPr="00424055" w:rsidR="00F63ABC" w:rsidP="00F63ABC" w:rsidRDefault="006E5F70" w14:paraId="368FE7C5" w14:textId="0993E2FB">
            <w:pPr>
              <w:keepNext/>
              <w:spacing w:before="100" w:after="0"/>
            </w:pPr>
            <w:r w:rsidRPr="00424055">
              <w:rPr>
                <w:b/>
                <w:color w:val="000000"/>
              </w:rPr>
              <w:t>13</w:t>
            </w:r>
          </w:p>
        </w:tc>
        <w:tc>
          <w:tcPr>
            <w:tcW w:w="0" w:type="auto"/>
          </w:tcPr>
          <w:p w:rsidRPr="00424055" w:rsidR="00F63ABC" w:rsidP="00F63ABC" w:rsidRDefault="00F63ABC" w14:paraId="49BB3F2A" w14:textId="77777777">
            <w:pPr>
              <w:keepNext/>
              <w:spacing w:before="100" w:after="0"/>
              <w:rPr>
                <w:b/>
              </w:rPr>
            </w:pPr>
            <w:r w:rsidRPr="00424055">
              <w:rPr>
                <w:b/>
              </w:rPr>
              <w:t>Goal Name</w:t>
            </w:r>
          </w:p>
        </w:tc>
        <w:tc>
          <w:tcPr>
            <w:tcW w:w="0" w:type="auto"/>
          </w:tcPr>
          <w:p w:rsidRPr="00424055" w:rsidR="00F63ABC" w:rsidP="00F63ABC" w:rsidRDefault="00F63ABC" w14:paraId="2F731CDA" w14:textId="77777777">
            <w:pPr>
              <w:spacing w:before="100" w:after="0"/>
            </w:pPr>
            <w:r w:rsidRPr="00424055">
              <w:rPr>
                <w:color w:val="000000"/>
              </w:rPr>
              <w:t>SL 1.3 Improve Public Facilities &amp; Infrastructure</w:t>
            </w:r>
          </w:p>
        </w:tc>
      </w:tr>
      <w:tr w:rsidRPr="00ED22E1" w:rsidR="00E60F12" w14:paraId="51FE0904" w14:textId="77777777">
        <w:trPr>
          <w:cantSplit/>
        </w:trPr>
        <w:tc>
          <w:tcPr>
            <w:tcW w:w="0" w:type="auto"/>
            <w:vMerge/>
          </w:tcPr>
          <w:p w:rsidRPr="00424055" w:rsidR="00F63ABC" w:rsidP="00F63ABC" w:rsidRDefault="00F63ABC" w14:paraId="5DF7F137" w14:textId="77777777"/>
        </w:tc>
        <w:tc>
          <w:tcPr>
            <w:tcW w:w="0" w:type="auto"/>
          </w:tcPr>
          <w:p w:rsidRPr="00424055" w:rsidR="00F63ABC" w:rsidP="00F63ABC" w:rsidRDefault="00F63ABC" w14:paraId="0BEDB468" w14:textId="77777777">
            <w:pPr>
              <w:keepNext/>
              <w:spacing w:before="100" w:after="0"/>
              <w:rPr>
                <w:b/>
              </w:rPr>
            </w:pPr>
            <w:r w:rsidRPr="00424055">
              <w:rPr>
                <w:b/>
              </w:rPr>
              <w:t>Goal Description</w:t>
            </w:r>
          </w:p>
        </w:tc>
        <w:tc>
          <w:tcPr>
            <w:tcW w:w="0" w:type="auto"/>
          </w:tcPr>
          <w:p w:rsidRPr="00424055" w:rsidR="00F63ABC" w:rsidP="00F63ABC" w:rsidRDefault="00424055" w14:paraId="392EC310" w14:textId="60F783C6">
            <w:pPr>
              <w:spacing w:before="100" w:after="0"/>
            </w:pPr>
            <w:r w:rsidRPr="00424055">
              <w:rPr>
                <w:color w:val="000000"/>
              </w:rPr>
              <w:t>During this Action Plan, no new awards were made.</w:t>
            </w:r>
          </w:p>
        </w:tc>
      </w:tr>
      <w:tr w:rsidRPr="00ED22E1" w:rsidR="00E60F12" w14:paraId="65E8E0E1" w14:textId="77777777">
        <w:trPr>
          <w:cantSplit/>
        </w:trPr>
        <w:tc>
          <w:tcPr>
            <w:tcW w:w="0" w:type="auto"/>
            <w:vMerge w:val="restart"/>
          </w:tcPr>
          <w:p w:rsidRPr="00010230" w:rsidR="00F63ABC" w:rsidP="00F63ABC" w:rsidRDefault="006E5F70" w14:paraId="19ACADE1" w14:textId="1042EA2E">
            <w:pPr>
              <w:keepNext/>
              <w:spacing w:before="100" w:after="0"/>
            </w:pPr>
            <w:r w:rsidRPr="00010230">
              <w:rPr>
                <w:b/>
                <w:color w:val="000000"/>
              </w:rPr>
              <w:lastRenderedPageBreak/>
              <w:t>14</w:t>
            </w:r>
          </w:p>
        </w:tc>
        <w:tc>
          <w:tcPr>
            <w:tcW w:w="0" w:type="auto"/>
          </w:tcPr>
          <w:p w:rsidRPr="00010230" w:rsidR="00F63ABC" w:rsidP="00F63ABC" w:rsidRDefault="00F63ABC" w14:paraId="109758E6" w14:textId="77777777">
            <w:pPr>
              <w:keepNext/>
              <w:spacing w:before="100" w:after="0"/>
              <w:rPr>
                <w:b/>
              </w:rPr>
            </w:pPr>
            <w:r w:rsidRPr="00010230">
              <w:rPr>
                <w:b/>
              </w:rPr>
              <w:t>Goal Name</w:t>
            </w:r>
          </w:p>
        </w:tc>
        <w:tc>
          <w:tcPr>
            <w:tcW w:w="0" w:type="auto"/>
          </w:tcPr>
          <w:p w:rsidRPr="00010230" w:rsidR="00F63ABC" w:rsidP="00F63ABC" w:rsidRDefault="00F63ABC" w14:paraId="193A1FF6" w14:textId="607FD67D">
            <w:pPr>
              <w:spacing w:before="100" w:after="0"/>
            </w:pPr>
            <w:r w:rsidRPr="00010230">
              <w:rPr>
                <w:color w:val="000000"/>
              </w:rPr>
              <w:t xml:space="preserve">SL 1.4 Remediation </w:t>
            </w:r>
            <w:r w:rsidRPr="00010230" w:rsidR="00E371F2">
              <w:rPr>
                <w:color w:val="000000"/>
              </w:rPr>
              <w:t>of Brownfields</w:t>
            </w:r>
          </w:p>
        </w:tc>
      </w:tr>
      <w:tr w:rsidRPr="00ED22E1" w:rsidR="00E60F12" w14:paraId="28F78C66" w14:textId="77777777">
        <w:trPr>
          <w:cantSplit/>
        </w:trPr>
        <w:tc>
          <w:tcPr>
            <w:tcW w:w="0" w:type="auto"/>
            <w:vMerge/>
          </w:tcPr>
          <w:p w:rsidRPr="00010230" w:rsidR="00F63ABC" w:rsidP="00F63ABC" w:rsidRDefault="00F63ABC" w14:paraId="320800A4" w14:textId="77777777"/>
        </w:tc>
        <w:tc>
          <w:tcPr>
            <w:tcW w:w="0" w:type="auto"/>
          </w:tcPr>
          <w:p w:rsidRPr="00010230" w:rsidR="00F63ABC" w:rsidP="00F63ABC" w:rsidRDefault="00F63ABC" w14:paraId="780D5271" w14:textId="77777777">
            <w:pPr>
              <w:keepNext/>
              <w:spacing w:before="100" w:after="0"/>
              <w:rPr>
                <w:b/>
              </w:rPr>
            </w:pPr>
            <w:r w:rsidRPr="00010230">
              <w:rPr>
                <w:b/>
              </w:rPr>
              <w:t>Goal Description</w:t>
            </w:r>
          </w:p>
        </w:tc>
        <w:tc>
          <w:tcPr>
            <w:tcW w:w="0" w:type="auto"/>
          </w:tcPr>
          <w:p w:rsidRPr="00010230" w:rsidR="00F63ABC" w:rsidP="00F63ABC" w:rsidRDefault="00F63ABC" w14:paraId="3220A21A" w14:textId="77777777">
            <w:pPr>
              <w:spacing w:before="100" w:after="0"/>
            </w:pPr>
            <w:r w:rsidRPr="00010230">
              <w:rPr>
                <w:color w:val="000000"/>
              </w:rPr>
              <w:t>During this Action Plan, CDBG funds have been allocated to brownfield remediation, with a focus on economic development and affordable housing within the NRSA. </w:t>
            </w:r>
          </w:p>
        </w:tc>
      </w:tr>
      <w:tr w:rsidRPr="00ED22E1" w:rsidR="00E60F12" w14:paraId="62B41ED4" w14:textId="77777777">
        <w:trPr>
          <w:cantSplit/>
        </w:trPr>
        <w:tc>
          <w:tcPr>
            <w:tcW w:w="0" w:type="auto"/>
            <w:vMerge w:val="restart"/>
          </w:tcPr>
          <w:p w:rsidRPr="00557E37" w:rsidR="00F63ABC" w:rsidP="00F63ABC" w:rsidRDefault="00F63ABC" w14:paraId="3BD1ED70" w14:textId="09B0E76D">
            <w:pPr>
              <w:keepNext/>
              <w:spacing w:before="100" w:after="0"/>
            </w:pPr>
            <w:r w:rsidRPr="00557E37">
              <w:rPr>
                <w:b/>
                <w:color w:val="000000"/>
              </w:rPr>
              <w:t>1</w:t>
            </w:r>
            <w:r w:rsidRPr="00557E37" w:rsidR="006E5F70">
              <w:rPr>
                <w:b/>
                <w:color w:val="000000"/>
              </w:rPr>
              <w:t>5</w:t>
            </w:r>
          </w:p>
        </w:tc>
        <w:tc>
          <w:tcPr>
            <w:tcW w:w="0" w:type="auto"/>
          </w:tcPr>
          <w:p w:rsidRPr="00557E37" w:rsidR="00F63ABC" w:rsidP="00F63ABC" w:rsidRDefault="00F63ABC" w14:paraId="7F8EA6FE" w14:textId="77777777">
            <w:pPr>
              <w:keepNext/>
              <w:spacing w:before="100" w:after="0"/>
              <w:rPr>
                <w:b/>
              </w:rPr>
            </w:pPr>
            <w:r w:rsidRPr="00557E37">
              <w:rPr>
                <w:b/>
              </w:rPr>
              <w:t>Goal Name</w:t>
            </w:r>
          </w:p>
        </w:tc>
        <w:tc>
          <w:tcPr>
            <w:tcW w:w="0" w:type="auto"/>
          </w:tcPr>
          <w:p w:rsidRPr="00557E37" w:rsidR="00F63ABC" w:rsidP="00F63ABC" w:rsidRDefault="00F63ABC" w14:paraId="1EA95F27" w14:textId="77777777">
            <w:pPr>
              <w:spacing w:before="100" w:after="0"/>
            </w:pPr>
            <w:r w:rsidRPr="00557E37">
              <w:rPr>
                <w:color w:val="000000"/>
              </w:rPr>
              <w:t>Planning and Administration</w:t>
            </w:r>
          </w:p>
        </w:tc>
      </w:tr>
      <w:tr w:rsidRPr="00ED22E1" w:rsidR="00E60F12" w14:paraId="5E0E5E1B" w14:textId="77777777">
        <w:trPr>
          <w:cantSplit/>
        </w:trPr>
        <w:tc>
          <w:tcPr>
            <w:tcW w:w="0" w:type="auto"/>
            <w:vMerge/>
          </w:tcPr>
          <w:p w:rsidRPr="00557E37" w:rsidR="00F63ABC" w:rsidP="00F63ABC" w:rsidRDefault="00F63ABC" w14:paraId="330F85AE" w14:textId="77777777"/>
        </w:tc>
        <w:tc>
          <w:tcPr>
            <w:tcW w:w="0" w:type="auto"/>
          </w:tcPr>
          <w:p w:rsidRPr="00557E37" w:rsidR="00F63ABC" w:rsidP="00F63ABC" w:rsidRDefault="00F63ABC" w14:paraId="758835CE" w14:textId="77777777">
            <w:pPr>
              <w:keepNext/>
              <w:spacing w:before="100" w:after="0"/>
              <w:rPr>
                <w:b/>
              </w:rPr>
            </w:pPr>
            <w:r w:rsidRPr="00557E37">
              <w:rPr>
                <w:b/>
              </w:rPr>
              <w:t>Goal Description</w:t>
            </w:r>
          </w:p>
        </w:tc>
        <w:tc>
          <w:tcPr>
            <w:tcW w:w="0" w:type="auto"/>
          </w:tcPr>
          <w:p w:rsidRPr="00557E37" w:rsidR="00F63ABC" w:rsidP="00F63ABC" w:rsidRDefault="00F63ABC" w14:paraId="058518A0" w14:textId="77777777">
            <w:pPr>
              <w:spacing w:before="100" w:after="0"/>
            </w:pPr>
            <w:r w:rsidRPr="00557E37">
              <w:rPr>
                <w:color w:val="000000"/>
              </w:rPr>
              <w:t>To support the capacity of the nonprofit institutional delivery structure in the City; pursue state and federal resources in support of City initiatives; implement City planning efforts; administer community and economic development programs; and support fair housing efforts in the City. </w:t>
            </w:r>
          </w:p>
        </w:tc>
      </w:tr>
      <w:bookmarkEnd w:id="6"/>
    </w:tbl>
    <w:p w:rsidRPr="00ED22E1" w:rsidR="00777D08" w:rsidRDefault="00777D08" w14:paraId="683D238C" w14:textId="77777777">
      <w:pPr>
        <w:keepNext/>
        <w:widowControl w:val="0"/>
        <w:jc w:val="center"/>
        <w:rPr>
          <w:b/>
          <w:sz w:val="20"/>
          <w:szCs w:val="20"/>
          <w:highlight w:val="lightGray"/>
        </w:rPr>
      </w:pPr>
    </w:p>
    <w:p w:rsidRPr="00CC15F3" w:rsidR="00777D08" w:rsidRDefault="00616F9C" w14:paraId="0C89A7BA" w14:textId="466611E1">
      <w:pPr>
        <w:rPr>
          <w:b/>
          <w:sz w:val="24"/>
          <w:szCs w:val="24"/>
        </w:rPr>
      </w:pPr>
      <w:r w:rsidRPr="00CC15F3">
        <w:rPr>
          <w:rFonts w:ascii="Verdana" w:hAnsi="Verdana"/>
          <w:b/>
          <w:bCs/>
          <w:sz w:val="20"/>
          <w:szCs w:val="20"/>
          <w:shd w:val="clear" w:color="auto" w:fill="FFFFFF"/>
        </w:rPr>
        <w:t>Estimate the number of extremely low-income, low-income, and moderate-income families to whom the jurisdiction will provide affordable housing as </w:t>
      </w:r>
      <w:r w:rsidRPr="00CC15F3">
        <w:rPr>
          <w:rFonts w:ascii="Verdana" w:hAnsi="Verdana"/>
          <w:b/>
          <w:bCs/>
          <w:sz w:val="20"/>
          <w:szCs w:val="20"/>
        </w:rPr>
        <w:br/>
      </w:r>
      <w:r w:rsidRPr="00CC15F3">
        <w:rPr>
          <w:rFonts w:ascii="Verdana" w:hAnsi="Verdana"/>
          <w:b/>
          <w:bCs/>
          <w:sz w:val="20"/>
          <w:szCs w:val="20"/>
          <w:shd w:val="clear" w:color="auto" w:fill="FFFFFF"/>
        </w:rPr>
        <w:t>defined by HOME 91.215(b)</w:t>
      </w:r>
    </w:p>
    <w:bookmarkEnd w:id="3"/>
    <w:p w:rsidRPr="00CC15F3" w:rsidR="00CC15F3" w:rsidP="00CC15F3" w:rsidRDefault="00CC15F3" w14:paraId="7EF3D6C5" w14:textId="77777777">
      <w:pPr>
        <w:rPr>
          <w:rFonts w:asciiTheme="minorHAnsi" w:hAnsiTheme="minorHAnsi" w:cstheme="minorHAnsi"/>
        </w:rPr>
      </w:pPr>
      <w:r w:rsidRPr="00CC15F3">
        <w:rPr>
          <w:rFonts w:asciiTheme="minorHAnsi" w:hAnsiTheme="minorHAnsi" w:cstheme="minorHAnsi"/>
          <w:shd w:val="clear" w:color="auto" w:fill="FFFFFF"/>
        </w:rPr>
        <w:t>It is estimated that at initial occupancy approximately 8 persons shall receive affordable housing through 3 HOME assisted units as a result of the 2021 HOME allocation to the City of Burlington. However, these funds will continue to benefits many new households during the HOME Affordability Period.</w:t>
      </w:r>
    </w:p>
    <w:p w:rsidR="00137AB7" w:rsidRDefault="00137AB7" w14:paraId="196767E3" w14:textId="125CA5E3">
      <w:pPr>
        <w:pStyle w:val="Heading2"/>
        <w:jc w:val="center"/>
        <w:rPr>
          <w:rFonts w:ascii="Calibri" w:hAnsi="Calibri"/>
          <w:i w:val="0"/>
          <w:sz w:val="32"/>
          <w:szCs w:val="32"/>
        </w:rPr>
      </w:pPr>
    </w:p>
    <w:p w:rsidR="00137AB7" w:rsidP="00137AB7" w:rsidRDefault="00137AB7" w14:paraId="07549FCE" w14:textId="54834700"/>
    <w:p w:rsidR="00137AB7" w:rsidP="00137AB7" w:rsidRDefault="00137AB7" w14:paraId="4B47A86F" w14:textId="17159793"/>
    <w:p w:rsidR="00137AB7" w:rsidP="00137AB7" w:rsidRDefault="00137AB7" w14:paraId="32648F6F" w14:textId="56DF7588"/>
    <w:p w:rsidR="00137AB7" w:rsidP="00137AB7" w:rsidRDefault="00137AB7" w14:paraId="55ACC4F0" w14:textId="600BFF8E"/>
    <w:p w:rsidR="00137AB7" w:rsidP="00137AB7" w:rsidRDefault="00137AB7" w14:paraId="4757D8A8" w14:textId="101F785B"/>
    <w:p w:rsidR="00137AB7" w:rsidP="00137AB7" w:rsidRDefault="00137AB7" w14:paraId="2258EDF0" w14:textId="48ACD07A"/>
    <w:p w:rsidR="00137AB7" w:rsidP="00137AB7" w:rsidRDefault="00137AB7" w14:paraId="28C6AC51" w14:textId="68CD6AA7"/>
    <w:p w:rsidRPr="00137AB7" w:rsidR="00137AB7" w:rsidP="00137AB7" w:rsidRDefault="00137AB7" w14:paraId="2B817098" w14:textId="77777777"/>
    <w:p w:rsidR="00FD0B0B" w:rsidP="00FD0B0B" w:rsidRDefault="00FD0B0B" w14:paraId="79D3A2DA" w14:textId="44220824">
      <w:pPr>
        <w:pStyle w:val="Heading2"/>
        <w:rPr>
          <w:rFonts w:ascii="Calibri" w:hAnsi="Calibri"/>
          <w:i w:val="0"/>
          <w:sz w:val="32"/>
          <w:szCs w:val="32"/>
        </w:rPr>
      </w:pPr>
    </w:p>
    <w:p w:rsidR="00FD0B0B" w:rsidP="00FD0B0B" w:rsidRDefault="00FD0B0B" w14:paraId="689F2112" w14:textId="3BC4A122"/>
    <w:p w:rsidRPr="00FD0B0B" w:rsidR="00FD0B0B" w:rsidP="00FD0B0B" w:rsidRDefault="00FD0B0B" w14:paraId="016656EB" w14:textId="77777777"/>
    <w:p w:rsidRPr="00AA0651" w:rsidR="00777D08" w:rsidP="00FD0B0B" w:rsidRDefault="00211F76" w14:paraId="0E621687" w14:textId="04FEF5A2">
      <w:pPr>
        <w:pStyle w:val="Heading2"/>
        <w:jc w:val="center"/>
        <w:rPr>
          <w:rFonts w:ascii="Calibri" w:hAnsi="Calibri"/>
          <w:i w:val="0"/>
          <w:sz w:val="32"/>
          <w:szCs w:val="32"/>
        </w:rPr>
      </w:pPr>
      <w:r w:rsidRPr="00AA0651">
        <w:rPr>
          <w:rFonts w:ascii="Calibri" w:hAnsi="Calibri"/>
          <w:i w:val="0"/>
          <w:sz w:val="32"/>
          <w:szCs w:val="32"/>
        </w:rPr>
        <w:lastRenderedPageBreak/>
        <w:t>Projects</w:t>
      </w:r>
      <w:bookmarkStart w:name="_Toc309810475" w:id="7"/>
    </w:p>
    <w:p w:rsidRPr="006E701B" w:rsidR="00777D08" w:rsidRDefault="00211F76" w14:paraId="6406F9EE" w14:textId="77777777">
      <w:pPr>
        <w:pStyle w:val="Heading2"/>
        <w:rPr>
          <w:rFonts w:ascii="Calibri" w:hAnsi="Calibri"/>
          <w:i w:val="0"/>
        </w:rPr>
      </w:pPr>
      <w:bookmarkStart w:name="_Hlk68001161" w:id="8"/>
      <w:r w:rsidRPr="006E701B">
        <w:rPr>
          <w:rFonts w:ascii="Calibri" w:hAnsi="Calibri"/>
          <w:i w:val="0"/>
        </w:rPr>
        <w:t>AP-35 Projects – 91.220(d)</w:t>
      </w:r>
    </w:p>
    <w:p w:rsidRPr="006E701B" w:rsidR="00777D08" w:rsidRDefault="00211F76" w14:paraId="7AAF04D6" w14:textId="77777777">
      <w:pPr>
        <w:keepNext/>
        <w:widowControl w:val="0"/>
        <w:spacing w:line="204" w:lineRule="auto"/>
        <w:rPr>
          <w:b/>
          <w:sz w:val="24"/>
          <w:szCs w:val="24"/>
        </w:rPr>
      </w:pPr>
      <w:r w:rsidRPr="006E701B">
        <w:rPr>
          <w:b/>
          <w:sz w:val="24"/>
          <w:szCs w:val="24"/>
        </w:rPr>
        <w:t xml:space="preserve">Introduction </w:t>
      </w:r>
    </w:p>
    <w:p w:rsidRPr="006E701B" w:rsidR="00777D08" w:rsidRDefault="00211F76" w14:paraId="27597CBB" w14:textId="77777777">
      <w:pPr>
        <w:keepNext/>
        <w:widowControl w:val="0"/>
        <w:spacing w:beforeAutospacing="1" w:afterAutospacing="1"/>
        <w:rPr>
          <w:rFonts w:cs="Arial"/>
        </w:rPr>
      </w:pPr>
      <w:r w:rsidRPr="006E701B">
        <w:rPr>
          <w:rFonts w:cs="Arial"/>
        </w:rPr>
        <w:t>This part of the Action Plan provides a summary of the eligible projects and activities that will take place during the program year to address the priority needs and specific objectives outlined in the Strategic Plan. The eligible projects are associated with at least one priority need and at least one or more goals. During this Consolidated Plan, most activities will be grouped, whenever possible, into larger projects to highlight the themed target areas for funding. In addition, HUD has provided Goal Outcome Indicators to describe the planned accomplishments for each project.</w:t>
      </w:r>
    </w:p>
    <w:p w:rsidRPr="00AC6D9C" w:rsidR="00777D08" w:rsidRDefault="00211F76" w14:paraId="00BB8156" w14:textId="77777777">
      <w:pPr>
        <w:keepNext/>
        <w:widowControl w:val="0"/>
        <w:spacing w:line="204" w:lineRule="auto"/>
        <w:rPr>
          <w:b/>
          <w:sz w:val="24"/>
          <w:szCs w:val="24"/>
        </w:rPr>
      </w:pPr>
      <w:r w:rsidRPr="00AC6D9C">
        <w:rPr>
          <w:rFonts w:cs="Arial"/>
          <w:b/>
        </w:rPr>
        <w:t>Projects</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
        <w:gridCol w:w="5387"/>
      </w:tblGrid>
      <w:tr w:rsidRPr="00ED22E1" w:rsidR="00777D08" w14:paraId="3CF4940E" w14:textId="77777777">
        <w:trPr>
          <w:cantSplit/>
          <w:tblHeader/>
        </w:trPr>
        <w:tc>
          <w:tcPr>
            <w:tcW w:w="0" w:type="auto"/>
          </w:tcPr>
          <w:p w:rsidRPr="00AC6D9C" w:rsidR="00777D08" w:rsidRDefault="00211F76" w14:paraId="345D6063" w14:textId="77777777">
            <w:pPr>
              <w:keepNext/>
              <w:widowControl w:val="0"/>
              <w:spacing w:after="0" w:line="240" w:lineRule="auto"/>
              <w:jc w:val="center"/>
              <w:rPr>
                <w:b/>
              </w:rPr>
            </w:pPr>
            <w:r w:rsidRPr="00AC6D9C">
              <w:rPr>
                <w:b/>
              </w:rPr>
              <w:t>#</w:t>
            </w:r>
          </w:p>
        </w:tc>
        <w:tc>
          <w:tcPr>
            <w:tcW w:w="0" w:type="auto"/>
          </w:tcPr>
          <w:p w:rsidRPr="00AC6D9C" w:rsidR="00777D08" w:rsidRDefault="00211F76" w14:paraId="7D478CE1" w14:textId="77777777">
            <w:pPr>
              <w:keepNext/>
              <w:widowControl w:val="0"/>
              <w:spacing w:after="0" w:line="240" w:lineRule="auto"/>
              <w:jc w:val="center"/>
              <w:rPr>
                <w:b/>
                <w:szCs w:val="24"/>
              </w:rPr>
            </w:pPr>
            <w:r w:rsidRPr="00AC6D9C">
              <w:rPr>
                <w:b/>
              </w:rPr>
              <w:t>Project Name</w:t>
            </w:r>
          </w:p>
        </w:tc>
      </w:tr>
      <w:tr w:rsidRPr="00ED22E1" w:rsidR="00777D08" w14:paraId="40877E73" w14:textId="77777777">
        <w:trPr>
          <w:cantSplit/>
        </w:trPr>
        <w:tc>
          <w:tcPr>
            <w:tcW w:w="0" w:type="auto"/>
            <w:vAlign w:val="bottom"/>
          </w:tcPr>
          <w:p w:rsidRPr="00AC6D9C" w:rsidR="00777D08" w:rsidRDefault="00211F76" w14:paraId="0DE0A625" w14:textId="77777777">
            <w:pPr>
              <w:spacing w:beforeAutospacing="1" w:afterAutospacing="1"/>
              <w:jc w:val="right"/>
            </w:pPr>
            <w:r w:rsidRPr="00AC6D9C">
              <w:rPr>
                <w:color w:val="000000"/>
              </w:rPr>
              <w:t>1</w:t>
            </w:r>
          </w:p>
        </w:tc>
        <w:tc>
          <w:tcPr>
            <w:tcW w:w="0" w:type="auto"/>
            <w:vAlign w:val="bottom"/>
          </w:tcPr>
          <w:p w:rsidRPr="00AC6D9C" w:rsidR="00777D08" w:rsidRDefault="00211F76" w14:paraId="7E5290BC" w14:textId="77777777">
            <w:pPr>
              <w:spacing w:beforeAutospacing="1" w:afterAutospacing="1"/>
            </w:pPr>
            <w:r w:rsidRPr="00AC6D9C">
              <w:rPr>
                <w:color w:val="000000"/>
              </w:rPr>
              <w:t>Housing and Homelessness Services</w:t>
            </w:r>
          </w:p>
        </w:tc>
      </w:tr>
      <w:tr w:rsidRPr="00ED22E1" w:rsidR="00777D08" w14:paraId="539D3943" w14:textId="77777777">
        <w:trPr>
          <w:cantSplit/>
        </w:trPr>
        <w:tc>
          <w:tcPr>
            <w:tcW w:w="0" w:type="auto"/>
            <w:vAlign w:val="bottom"/>
          </w:tcPr>
          <w:p w:rsidRPr="00AC6D9C" w:rsidR="00777D08" w:rsidRDefault="00211F76" w14:paraId="290AC8E3" w14:textId="77777777">
            <w:pPr>
              <w:spacing w:beforeAutospacing="1" w:afterAutospacing="1"/>
              <w:jc w:val="right"/>
            </w:pPr>
            <w:r w:rsidRPr="00AC6D9C">
              <w:rPr>
                <w:color w:val="000000"/>
              </w:rPr>
              <w:t>2</w:t>
            </w:r>
          </w:p>
        </w:tc>
        <w:tc>
          <w:tcPr>
            <w:tcW w:w="0" w:type="auto"/>
            <w:vAlign w:val="bottom"/>
          </w:tcPr>
          <w:p w:rsidRPr="00AC6D9C" w:rsidR="00777D08" w:rsidRDefault="00211F76" w14:paraId="1DC96E67" w14:textId="77777777">
            <w:pPr>
              <w:spacing w:beforeAutospacing="1" w:afterAutospacing="1"/>
              <w:rPr>
                <w:color w:val="000000"/>
              </w:rPr>
            </w:pPr>
            <w:r w:rsidRPr="00AC6D9C">
              <w:rPr>
                <w:color w:val="000000"/>
              </w:rPr>
              <w:t>Preserving &amp; Increasing Affordable Housing Opportunities</w:t>
            </w:r>
          </w:p>
        </w:tc>
      </w:tr>
      <w:tr w:rsidRPr="00ED22E1" w:rsidR="00777D08" w14:paraId="1861C956" w14:textId="77777777">
        <w:trPr>
          <w:cantSplit/>
        </w:trPr>
        <w:tc>
          <w:tcPr>
            <w:tcW w:w="0" w:type="auto"/>
            <w:vAlign w:val="bottom"/>
          </w:tcPr>
          <w:p w:rsidRPr="00AC6D9C" w:rsidR="00777D08" w:rsidRDefault="001825E0" w14:paraId="4F25340F" w14:textId="490728F7">
            <w:pPr>
              <w:spacing w:beforeAutospacing="1" w:afterAutospacing="1"/>
              <w:jc w:val="right"/>
            </w:pPr>
            <w:r w:rsidRPr="00AC6D9C">
              <w:rPr>
                <w:color w:val="000000"/>
              </w:rPr>
              <w:t>3</w:t>
            </w:r>
          </w:p>
        </w:tc>
        <w:tc>
          <w:tcPr>
            <w:tcW w:w="0" w:type="auto"/>
            <w:vAlign w:val="bottom"/>
          </w:tcPr>
          <w:p w:rsidRPr="00AC6D9C" w:rsidR="00777D08" w:rsidRDefault="00AC6D9C" w14:paraId="614B1497" w14:textId="6B29B527">
            <w:pPr>
              <w:spacing w:beforeAutospacing="1" w:afterAutospacing="1"/>
            </w:pPr>
            <w:r w:rsidRPr="00AC6D9C">
              <w:rPr>
                <w:color w:val="000000"/>
              </w:rPr>
              <w:t>Microenterprise</w:t>
            </w:r>
            <w:r w:rsidRPr="00AC6D9C" w:rsidR="00211F76">
              <w:rPr>
                <w:color w:val="000000"/>
              </w:rPr>
              <w:t xml:space="preserve"> Assistance</w:t>
            </w:r>
          </w:p>
        </w:tc>
      </w:tr>
      <w:tr w:rsidRPr="00ED22E1" w:rsidR="00777D08" w14:paraId="061B81F3" w14:textId="77777777">
        <w:trPr>
          <w:cantSplit/>
        </w:trPr>
        <w:tc>
          <w:tcPr>
            <w:tcW w:w="0" w:type="auto"/>
            <w:vAlign w:val="bottom"/>
          </w:tcPr>
          <w:p w:rsidRPr="00AC6D9C" w:rsidR="00777D08" w:rsidRDefault="001825E0" w14:paraId="7A75B1F8" w14:textId="6BF81290">
            <w:pPr>
              <w:spacing w:beforeAutospacing="1" w:afterAutospacing="1"/>
              <w:jc w:val="right"/>
            </w:pPr>
            <w:r w:rsidRPr="00AC6D9C">
              <w:rPr>
                <w:color w:val="000000"/>
              </w:rPr>
              <w:t>4</w:t>
            </w:r>
          </w:p>
        </w:tc>
        <w:tc>
          <w:tcPr>
            <w:tcW w:w="0" w:type="auto"/>
            <w:vAlign w:val="bottom"/>
          </w:tcPr>
          <w:p w:rsidRPr="00AC6D9C" w:rsidR="00777D08" w:rsidRDefault="00211F76" w14:paraId="10396D1C" w14:textId="77777777">
            <w:pPr>
              <w:spacing w:beforeAutospacing="1" w:afterAutospacing="1"/>
            </w:pPr>
            <w:r w:rsidRPr="00AC6D9C">
              <w:rPr>
                <w:color w:val="000000"/>
              </w:rPr>
              <w:t>Burlington's Sustainable Economic Development Program</w:t>
            </w:r>
          </w:p>
        </w:tc>
      </w:tr>
      <w:tr w:rsidRPr="00ED22E1" w:rsidR="00777D08" w14:paraId="2B982DC4" w14:textId="77777777">
        <w:trPr>
          <w:cantSplit/>
        </w:trPr>
        <w:tc>
          <w:tcPr>
            <w:tcW w:w="0" w:type="auto"/>
            <w:vAlign w:val="bottom"/>
          </w:tcPr>
          <w:p w:rsidRPr="00AC6D9C" w:rsidR="00777D08" w:rsidRDefault="001825E0" w14:paraId="6854F249" w14:textId="35EC83FD">
            <w:pPr>
              <w:spacing w:beforeAutospacing="1" w:afterAutospacing="1"/>
              <w:jc w:val="right"/>
            </w:pPr>
            <w:r w:rsidRPr="00AC6D9C">
              <w:rPr>
                <w:color w:val="000000"/>
              </w:rPr>
              <w:t>5</w:t>
            </w:r>
          </w:p>
        </w:tc>
        <w:tc>
          <w:tcPr>
            <w:tcW w:w="0" w:type="auto"/>
            <w:vAlign w:val="bottom"/>
          </w:tcPr>
          <w:p w:rsidRPr="00AC6D9C" w:rsidR="00777D08" w:rsidRDefault="00211F76" w14:paraId="1DDFBE67" w14:textId="77777777">
            <w:pPr>
              <w:spacing w:beforeAutospacing="1" w:afterAutospacing="1"/>
            </w:pPr>
            <w:r w:rsidRPr="00AC6D9C">
              <w:rPr>
                <w:color w:val="000000"/>
              </w:rPr>
              <w:t>Neighborhood Development</w:t>
            </w:r>
          </w:p>
        </w:tc>
      </w:tr>
      <w:tr w:rsidRPr="00ED22E1" w:rsidR="00777D08" w14:paraId="57384D40" w14:textId="77777777">
        <w:trPr>
          <w:cantSplit/>
        </w:trPr>
        <w:tc>
          <w:tcPr>
            <w:tcW w:w="0" w:type="auto"/>
            <w:vAlign w:val="bottom"/>
          </w:tcPr>
          <w:p w:rsidRPr="00AC6D9C" w:rsidR="00777D08" w:rsidRDefault="001825E0" w14:paraId="08208276" w14:textId="3D56A18B">
            <w:pPr>
              <w:spacing w:beforeAutospacing="1" w:afterAutospacing="1"/>
              <w:jc w:val="right"/>
            </w:pPr>
            <w:r w:rsidRPr="00AC6D9C">
              <w:rPr>
                <w:color w:val="000000"/>
              </w:rPr>
              <w:t>6</w:t>
            </w:r>
          </w:p>
        </w:tc>
        <w:tc>
          <w:tcPr>
            <w:tcW w:w="0" w:type="auto"/>
            <w:vAlign w:val="bottom"/>
          </w:tcPr>
          <w:p w:rsidRPr="00AC6D9C" w:rsidR="00777D08" w:rsidRDefault="00211F76" w14:paraId="62399C91" w14:textId="77777777">
            <w:pPr>
              <w:spacing w:beforeAutospacing="1" w:afterAutospacing="1"/>
            </w:pPr>
            <w:r w:rsidRPr="00AC6D9C">
              <w:rPr>
                <w:color w:val="000000"/>
              </w:rPr>
              <w:t>Burlington Brownfields Program</w:t>
            </w:r>
          </w:p>
        </w:tc>
      </w:tr>
      <w:tr w:rsidRPr="00ED22E1" w:rsidR="00777D08" w14:paraId="0A26E0A7" w14:textId="77777777">
        <w:trPr>
          <w:cantSplit/>
        </w:trPr>
        <w:tc>
          <w:tcPr>
            <w:tcW w:w="0" w:type="auto"/>
            <w:vAlign w:val="bottom"/>
          </w:tcPr>
          <w:p w:rsidRPr="00AC6D9C" w:rsidR="00777D08" w:rsidRDefault="001825E0" w14:paraId="25F883A4" w14:textId="56911EC8">
            <w:pPr>
              <w:spacing w:beforeAutospacing="1" w:afterAutospacing="1"/>
              <w:jc w:val="right"/>
            </w:pPr>
            <w:r w:rsidRPr="00AC6D9C">
              <w:rPr>
                <w:color w:val="000000"/>
              </w:rPr>
              <w:t>7</w:t>
            </w:r>
          </w:p>
        </w:tc>
        <w:tc>
          <w:tcPr>
            <w:tcW w:w="0" w:type="auto"/>
            <w:vAlign w:val="bottom"/>
          </w:tcPr>
          <w:p w:rsidRPr="00AC6D9C" w:rsidR="00777D08" w:rsidRDefault="00211F76" w14:paraId="49DEF9ED" w14:textId="77777777">
            <w:pPr>
              <w:spacing w:beforeAutospacing="1" w:afterAutospacing="1"/>
            </w:pPr>
            <w:r w:rsidRPr="00AC6D9C">
              <w:rPr>
                <w:color w:val="000000"/>
              </w:rPr>
              <w:t>Public Service Economic Opportunity</w:t>
            </w:r>
          </w:p>
        </w:tc>
      </w:tr>
      <w:tr w:rsidRPr="00ED22E1" w:rsidR="00777D08" w14:paraId="55182F65" w14:textId="77777777">
        <w:trPr>
          <w:cantSplit/>
        </w:trPr>
        <w:tc>
          <w:tcPr>
            <w:tcW w:w="0" w:type="auto"/>
            <w:vAlign w:val="bottom"/>
          </w:tcPr>
          <w:p w:rsidRPr="00AC6D9C" w:rsidR="00777D08" w:rsidRDefault="001825E0" w14:paraId="10851B32" w14:textId="0B1C15CA">
            <w:pPr>
              <w:spacing w:beforeAutospacing="1" w:afterAutospacing="1"/>
              <w:jc w:val="right"/>
            </w:pPr>
            <w:r w:rsidRPr="00AC6D9C">
              <w:rPr>
                <w:color w:val="000000"/>
              </w:rPr>
              <w:t>8</w:t>
            </w:r>
          </w:p>
        </w:tc>
        <w:tc>
          <w:tcPr>
            <w:tcW w:w="0" w:type="auto"/>
            <w:vAlign w:val="bottom"/>
          </w:tcPr>
          <w:p w:rsidRPr="00AC6D9C" w:rsidR="00777D08" w:rsidRDefault="00211F76" w14:paraId="5D710D4D" w14:textId="77777777">
            <w:pPr>
              <w:spacing w:beforeAutospacing="1" w:afterAutospacing="1"/>
            </w:pPr>
            <w:r w:rsidRPr="00AC6D9C">
              <w:rPr>
                <w:color w:val="000000"/>
              </w:rPr>
              <w:t>Childcare &amp; Early Childhood Education</w:t>
            </w:r>
          </w:p>
        </w:tc>
      </w:tr>
      <w:tr w:rsidRPr="00ED22E1" w:rsidR="00777D08" w14:paraId="0785FDF4" w14:textId="77777777">
        <w:trPr>
          <w:cantSplit/>
        </w:trPr>
        <w:tc>
          <w:tcPr>
            <w:tcW w:w="0" w:type="auto"/>
            <w:vAlign w:val="bottom"/>
          </w:tcPr>
          <w:p w:rsidRPr="00AC6D9C" w:rsidR="00777D08" w:rsidRDefault="001825E0" w14:paraId="1BDF092A" w14:textId="018653A6">
            <w:pPr>
              <w:spacing w:beforeAutospacing="1" w:afterAutospacing="1"/>
              <w:jc w:val="right"/>
            </w:pPr>
            <w:r w:rsidRPr="00AC6D9C">
              <w:rPr>
                <w:color w:val="000000"/>
              </w:rPr>
              <w:t>9</w:t>
            </w:r>
          </w:p>
        </w:tc>
        <w:tc>
          <w:tcPr>
            <w:tcW w:w="0" w:type="auto"/>
            <w:vAlign w:val="bottom"/>
          </w:tcPr>
          <w:p w:rsidRPr="00AC6D9C" w:rsidR="00777D08" w:rsidRDefault="00211F76" w14:paraId="566F5112" w14:textId="77777777">
            <w:pPr>
              <w:spacing w:beforeAutospacing="1" w:afterAutospacing="1"/>
            </w:pPr>
            <w:r w:rsidRPr="00AC6D9C">
              <w:rPr>
                <w:color w:val="000000"/>
              </w:rPr>
              <w:t>Youth Services</w:t>
            </w:r>
          </w:p>
        </w:tc>
      </w:tr>
      <w:tr w:rsidRPr="00ED22E1" w:rsidR="00777D08" w14:paraId="06C0FEDE" w14:textId="77777777">
        <w:trPr>
          <w:cantSplit/>
        </w:trPr>
        <w:tc>
          <w:tcPr>
            <w:tcW w:w="0" w:type="auto"/>
            <w:vAlign w:val="bottom"/>
          </w:tcPr>
          <w:p w:rsidRPr="00AC6D9C" w:rsidR="00777D08" w:rsidP="001825E0" w:rsidRDefault="00211F76" w14:paraId="3A6C2806" w14:textId="284F618C">
            <w:pPr>
              <w:spacing w:beforeAutospacing="1" w:afterAutospacing="1"/>
              <w:jc w:val="right"/>
            </w:pPr>
            <w:r w:rsidRPr="00AC6D9C">
              <w:rPr>
                <w:color w:val="000000"/>
              </w:rPr>
              <w:t>1</w:t>
            </w:r>
            <w:r w:rsidRPr="00AC6D9C" w:rsidR="001825E0">
              <w:rPr>
                <w:color w:val="000000"/>
              </w:rPr>
              <w:t>0</w:t>
            </w:r>
          </w:p>
        </w:tc>
        <w:tc>
          <w:tcPr>
            <w:tcW w:w="0" w:type="auto"/>
            <w:vAlign w:val="bottom"/>
          </w:tcPr>
          <w:p w:rsidRPr="00AC6D9C" w:rsidR="00777D08" w:rsidRDefault="00211F76" w14:paraId="6248325D" w14:textId="77777777">
            <w:pPr>
              <w:spacing w:beforeAutospacing="1" w:afterAutospacing="1"/>
            </w:pPr>
            <w:r w:rsidRPr="00AC6D9C">
              <w:rPr>
                <w:color w:val="000000"/>
              </w:rPr>
              <w:t>CDBG and HOME Administration</w:t>
            </w:r>
          </w:p>
        </w:tc>
      </w:tr>
    </w:tbl>
    <w:p w:rsidRPr="00AC6D9C" w:rsidR="00777D08" w:rsidRDefault="00211F76" w14:paraId="34FE3F66" w14:textId="7DA05342">
      <w:pPr>
        <w:pStyle w:val="Caption"/>
        <w:rPr>
          <w:rFonts w:asciiTheme="minorHAnsi" w:hAnsiTheme="minorHAnsi"/>
        </w:rPr>
      </w:pPr>
      <w:r w:rsidRPr="00AC6D9C">
        <w:rPr>
          <w:rFonts w:asciiTheme="minorHAnsi" w:hAnsiTheme="minorHAnsi"/>
        </w:rPr>
        <w:t xml:space="preserve">Table </w:t>
      </w:r>
      <w:r w:rsidRPr="00AC6D9C">
        <w:rPr>
          <w:rFonts w:asciiTheme="minorHAnsi" w:hAnsiTheme="minorHAnsi"/>
        </w:rPr>
        <w:fldChar w:fldCharType="begin"/>
      </w:r>
      <w:r w:rsidRPr="00AC6D9C">
        <w:rPr>
          <w:rFonts w:asciiTheme="minorHAnsi" w:hAnsiTheme="minorHAnsi"/>
        </w:rPr>
        <w:instrText xml:space="preserve"> SEQ Table \* ARABIC </w:instrText>
      </w:r>
      <w:r w:rsidRPr="00AC6D9C">
        <w:rPr>
          <w:rFonts w:asciiTheme="minorHAnsi" w:hAnsiTheme="minorHAnsi"/>
        </w:rPr>
        <w:fldChar w:fldCharType="separate"/>
      </w:r>
      <w:r w:rsidR="0090766A">
        <w:rPr>
          <w:rFonts w:asciiTheme="minorHAnsi" w:hAnsiTheme="minorHAnsi"/>
          <w:noProof/>
        </w:rPr>
        <w:t>7</w:t>
      </w:r>
      <w:r w:rsidRPr="00AC6D9C">
        <w:rPr>
          <w:rFonts w:asciiTheme="minorHAnsi" w:hAnsiTheme="minorHAnsi"/>
        </w:rPr>
        <w:fldChar w:fldCharType="end"/>
      </w:r>
      <w:r w:rsidRPr="00AC6D9C">
        <w:rPr>
          <w:rFonts w:asciiTheme="minorHAnsi" w:hAnsiTheme="minorHAnsi"/>
        </w:rPr>
        <w:t xml:space="preserve"> - Project Information</w:t>
      </w:r>
    </w:p>
    <w:p w:rsidRPr="00ED22E1" w:rsidR="00777D08" w:rsidRDefault="00777D08" w14:paraId="18D3011A" w14:textId="77777777">
      <w:pPr>
        <w:spacing w:after="0" w:line="240" w:lineRule="auto"/>
        <w:rPr>
          <w:b/>
          <w:sz w:val="24"/>
          <w:szCs w:val="24"/>
          <w:highlight w:val="lightGray"/>
        </w:rPr>
      </w:pPr>
    </w:p>
    <w:p w:rsidRPr="00AC6D9C" w:rsidR="00777D08" w:rsidRDefault="00211F76" w14:paraId="71DDFC23" w14:textId="77777777">
      <w:pPr>
        <w:keepNext/>
        <w:widowControl w:val="0"/>
        <w:spacing w:line="204" w:lineRule="auto"/>
        <w:rPr>
          <w:b/>
          <w:sz w:val="24"/>
          <w:szCs w:val="24"/>
        </w:rPr>
      </w:pPr>
      <w:r w:rsidRPr="00AC6D9C">
        <w:rPr>
          <w:b/>
          <w:sz w:val="24"/>
          <w:szCs w:val="24"/>
        </w:rPr>
        <w:t>Describe the reasons for allocation priorities and any obstacles to addressing underserved needs</w:t>
      </w:r>
    </w:p>
    <w:p w:rsidRPr="00AC6D9C" w:rsidR="00777D08" w:rsidP="00236A28" w:rsidRDefault="00211F76" w14:paraId="6C1EC5AB" w14:textId="71B3E770">
      <w:pPr>
        <w:keepNext/>
        <w:widowControl w:val="0"/>
        <w:spacing w:after="0"/>
        <w:rPr>
          <w:rFonts w:cs="Arial"/>
        </w:rPr>
      </w:pPr>
      <w:r w:rsidRPr="00AC6D9C">
        <w:rPr>
          <w:rFonts w:cs="Arial"/>
        </w:rPr>
        <w:t>The all-volunteer CDBG Advisory Board followed both the City's Anti-Poverty Strategy and Consolidated Plan priorities in their review of project applications</w:t>
      </w:r>
    </w:p>
    <w:p w:rsidRPr="00AC6D9C" w:rsidR="00236A28" w:rsidP="00236A28" w:rsidRDefault="00236A28" w14:paraId="1DC29818" w14:textId="77777777">
      <w:pPr>
        <w:keepNext/>
        <w:widowControl w:val="0"/>
        <w:spacing w:after="0"/>
        <w:rPr>
          <w:rFonts w:cs="Arial"/>
          <w:sz w:val="8"/>
          <w:szCs w:val="8"/>
        </w:rPr>
      </w:pPr>
    </w:p>
    <w:p w:rsidRPr="00AC6D9C" w:rsidR="00777D08" w:rsidP="00236A28" w:rsidRDefault="00211F76" w14:paraId="7392342B" w14:textId="593FABF6">
      <w:pPr>
        <w:keepNext/>
        <w:widowControl w:val="0"/>
        <w:numPr>
          <w:ilvl w:val="0"/>
          <w:numId w:val="3"/>
        </w:numPr>
        <w:spacing w:after="0"/>
        <w:rPr>
          <w:rFonts w:cs="Arial"/>
          <w:szCs w:val="24"/>
        </w:rPr>
      </w:pPr>
      <w:r w:rsidRPr="00AC6D9C">
        <w:rPr>
          <w:rFonts w:cs="Arial"/>
        </w:rPr>
        <w:t xml:space="preserve">CDBG Public Services areas were clustered in two groups, and each year applications are requested for a particular grouping. Two-year grants will be funded from the applications received each year. A minimum of 80% of the available funding will be earmarked for these 2-year grants for the themed impact areas. Programs will not be eligible to reapply until their area opens again, most likely in two years. This year applications were sought for </w:t>
      </w:r>
      <w:r w:rsidRPr="00AC6D9C" w:rsidR="00AC6D9C">
        <w:rPr>
          <w:rFonts w:cs="Arial"/>
          <w:bCs/>
        </w:rPr>
        <w:t>Early Childhood Education, Childcare</w:t>
      </w:r>
      <w:r w:rsidRPr="00AC6D9C" w:rsidR="00754216">
        <w:rPr>
          <w:rFonts w:cs="Arial"/>
        </w:rPr>
        <w:t xml:space="preserve"> and</w:t>
      </w:r>
      <w:r w:rsidRPr="00AC6D9C" w:rsidR="00AC6D9C">
        <w:rPr>
          <w:rFonts w:cs="Arial"/>
          <w:bCs/>
        </w:rPr>
        <w:t xml:space="preserve"> Youth Services</w:t>
      </w:r>
      <w:r w:rsidRPr="00AC6D9C">
        <w:rPr>
          <w:rFonts w:cs="Arial"/>
        </w:rPr>
        <w:t>. Economic opportunity programs could apply for the remaining 20% of available</w:t>
      </w:r>
      <w:r w:rsidRPr="00AC6D9C" w:rsidR="00236A28">
        <w:rPr>
          <w:rFonts w:cs="Arial"/>
        </w:rPr>
        <w:t xml:space="preserve"> </w:t>
      </w:r>
      <w:r w:rsidRPr="00AC6D9C">
        <w:rPr>
          <w:rFonts w:cs="Arial"/>
        </w:rPr>
        <w:t>funding as annual (1-year) grants.</w:t>
      </w:r>
    </w:p>
    <w:p w:rsidRPr="0041472A" w:rsidR="00777D08" w:rsidRDefault="00211F76" w14:paraId="4AE849FC" w14:textId="77777777">
      <w:pPr>
        <w:keepNext/>
        <w:widowControl w:val="0"/>
        <w:spacing w:beforeAutospacing="1" w:afterAutospacing="1"/>
        <w:rPr>
          <w:rFonts w:cs="Arial"/>
          <w:szCs w:val="24"/>
        </w:rPr>
      </w:pPr>
      <w:r w:rsidRPr="0041472A">
        <w:rPr>
          <w:rFonts w:cs="Arial"/>
        </w:rPr>
        <w:t xml:space="preserve">More focus will be placed on impact and moving people out of poverty and not numbers served. In </w:t>
      </w:r>
      <w:r w:rsidRPr="0041472A">
        <w:rPr>
          <w:rFonts w:cs="Arial"/>
        </w:rPr>
        <w:lastRenderedPageBreak/>
        <w:t>addition, emphasis will be placed on projects that demonstrate efficiencies or collaboration, or a project proposal seeking to implement such efficiencies.</w:t>
      </w:r>
    </w:p>
    <w:p w:rsidRPr="0041472A" w:rsidR="00777D08" w:rsidRDefault="00211F76" w14:paraId="4C6B25D5" w14:textId="68413CBC">
      <w:pPr>
        <w:keepNext/>
        <w:widowControl w:val="0"/>
        <w:spacing w:beforeAutospacing="1" w:afterAutospacing="1"/>
        <w:rPr>
          <w:rFonts w:cs="Arial"/>
          <w:szCs w:val="24"/>
        </w:rPr>
      </w:pPr>
      <w:r w:rsidRPr="0041472A">
        <w:rPr>
          <w:rFonts w:cs="Arial"/>
        </w:rPr>
        <w:t xml:space="preserve">The biggest obstacle to addressing underserved needs continues to be insufficient resources. The City will continue to pursue additional federal, state and private resources but does not expect to overcome the obstacle of shrinking public resources. </w:t>
      </w:r>
      <w:r w:rsidRPr="0041472A" w:rsidR="0041472A">
        <w:rPr>
          <w:rFonts w:cs="Arial"/>
        </w:rPr>
        <w:t xml:space="preserve">While the federal COVID response packages, Coronavirus Aid, Relief and Economic Security (CARES) Act and the American Recovery Plan Act (ARPA) provided significant and needed assistance to Burlington, these aid packages did not cover the full extent of need and economic losses due to the pandemic. </w:t>
      </w:r>
      <w:r w:rsidRPr="0041472A">
        <w:rPr>
          <w:rFonts w:cs="Arial"/>
        </w:rPr>
        <w:t>The City will also continue to work with partners to leverage funds, prioritize resources for those in greatest need and engage in collective impact initiatives.</w:t>
      </w:r>
    </w:p>
    <w:p w:rsidRPr="0041472A" w:rsidR="00777D08" w:rsidRDefault="00211F76" w14:paraId="45973BB0" w14:textId="77777777">
      <w:pPr>
        <w:keepNext/>
        <w:widowControl w:val="0"/>
        <w:spacing w:beforeAutospacing="1" w:afterAutospacing="1"/>
        <w:rPr>
          <w:rFonts w:cs="Arial"/>
          <w:szCs w:val="24"/>
        </w:rPr>
      </w:pPr>
      <w:r w:rsidRPr="0041472A">
        <w:rPr>
          <w:rFonts w:cs="Arial"/>
        </w:rPr>
        <w:t>Other obstacles to meeting underserved needs include:</w:t>
      </w:r>
    </w:p>
    <w:p w:rsidRPr="0041472A" w:rsidR="0041472A" w:rsidRDefault="0041472A" w14:paraId="5DFE99B9" w14:textId="5E0808CB">
      <w:pPr>
        <w:keepNext/>
        <w:widowControl w:val="0"/>
        <w:numPr>
          <w:ilvl w:val="0"/>
          <w:numId w:val="3"/>
        </w:numPr>
        <w:spacing w:beforeAutospacing="1" w:afterAutospacing="1"/>
        <w:rPr>
          <w:rFonts w:cs="Arial"/>
          <w:szCs w:val="24"/>
        </w:rPr>
      </w:pPr>
      <w:r w:rsidRPr="0041472A">
        <w:rPr>
          <w:rFonts w:cs="Arial"/>
          <w:szCs w:val="24"/>
        </w:rPr>
        <w:t>Ensuring a just and equitable recovery to rebuild after the economic losses incurred due to the pandemic</w:t>
      </w:r>
      <w:r>
        <w:rPr>
          <w:rFonts w:cs="Arial"/>
          <w:szCs w:val="24"/>
        </w:rPr>
        <w:t>;</w:t>
      </w:r>
    </w:p>
    <w:p w:rsidRPr="0041472A" w:rsidR="00777D08" w:rsidRDefault="00211F76" w14:paraId="55D9AA93" w14:textId="29C3F79A">
      <w:pPr>
        <w:keepNext/>
        <w:widowControl w:val="0"/>
        <w:numPr>
          <w:ilvl w:val="0"/>
          <w:numId w:val="3"/>
        </w:numPr>
        <w:spacing w:beforeAutospacing="1" w:afterAutospacing="1"/>
        <w:rPr>
          <w:rFonts w:cs="Arial"/>
          <w:szCs w:val="24"/>
        </w:rPr>
      </w:pPr>
      <w:r w:rsidRPr="0041472A">
        <w:rPr>
          <w:rFonts w:cs="Arial"/>
        </w:rPr>
        <w:t>Limited land available in the city for housing and commercial development;</w:t>
      </w:r>
    </w:p>
    <w:p w:rsidRPr="0041472A" w:rsidR="00777D08" w:rsidRDefault="00211F76" w14:paraId="1A71A8DD" w14:textId="77777777">
      <w:pPr>
        <w:keepNext/>
        <w:widowControl w:val="0"/>
        <w:numPr>
          <w:ilvl w:val="0"/>
          <w:numId w:val="3"/>
        </w:numPr>
        <w:spacing w:beforeAutospacing="1" w:afterAutospacing="1"/>
        <w:rPr>
          <w:rFonts w:cs="Arial"/>
          <w:szCs w:val="24"/>
        </w:rPr>
      </w:pPr>
      <w:r w:rsidRPr="0041472A">
        <w:rPr>
          <w:rFonts w:cs="Arial"/>
        </w:rPr>
        <w:t>Community tension between the need for development and the desire to preserve the status quo, between the need to rehabilitate and maintain the housing stock and the desire for architectural and historic preservation;</w:t>
      </w:r>
    </w:p>
    <w:p w:rsidRPr="0041472A" w:rsidR="00777D08" w:rsidRDefault="00211F76" w14:paraId="1567E980" w14:textId="77777777">
      <w:pPr>
        <w:keepNext/>
        <w:widowControl w:val="0"/>
        <w:numPr>
          <w:ilvl w:val="0"/>
          <w:numId w:val="3"/>
        </w:numPr>
        <w:spacing w:beforeAutospacing="1" w:afterAutospacing="1"/>
        <w:rPr>
          <w:rFonts w:cs="Arial"/>
          <w:szCs w:val="24"/>
        </w:rPr>
      </w:pPr>
      <w:r w:rsidRPr="0041472A">
        <w:rPr>
          <w:rFonts w:cs="Arial"/>
        </w:rPr>
        <w:t>The requirements around criminal, eviction and credit histories in rental housing placement and hoarding / housekeeping issues, as well as no cause eviction, in rental housing stability;</w:t>
      </w:r>
    </w:p>
    <w:p w:rsidRPr="0041472A" w:rsidR="00777D08" w:rsidRDefault="00211F76" w14:paraId="4E75845A" w14:textId="77777777">
      <w:pPr>
        <w:keepNext/>
        <w:widowControl w:val="0"/>
        <w:numPr>
          <w:ilvl w:val="0"/>
          <w:numId w:val="3"/>
        </w:numPr>
        <w:spacing w:beforeAutospacing="1" w:afterAutospacing="1"/>
        <w:rPr>
          <w:rFonts w:cs="Arial"/>
          <w:szCs w:val="24"/>
        </w:rPr>
      </w:pPr>
      <w:r w:rsidRPr="0041472A">
        <w:rPr>
          <w:rFonts w:cs="Arial"/>
        </w:rPr>
        <w:t>The lack of availability of transportation, especially for residents with special needs and for second shift and weekend work, acerbated by a regional mismatch in the balance of job growth and housing development; </w:t>
      </w:r>
    </w:p>
    <w:p w:rsidRPr="0041472A" w:rsidR="00777D08" w:rsidRDefault="00211F76" w14:paraId="0D635B06" w14:textId="77777777">
      <w:pPr>
        <w:keepNext/>
        <w:widowControl w:val="0"/>
        <w:numPr>
          <w:ilvl w:val="0"/>
          <w:numId w:val="3"/>
        </w:numPr>
        <w:spacing w:beforeAutospacing="1" w:afterAutospacing="1"/>
        <w:rPr>
          <w:rFonts w:cs="Arial"/>
          <w:szCs w:val="24"/>
        </w:rPr>
      </w:pPr>
      <w:r w:rsidRPr="0041472A">
        <w:rPr>
          <w:rFonts w:cs="Arial"/>
        </w:rPr>
        <w:t>Benefits “cliffs” which, together with a lack of understanding among residents, businesses and service providers about the asset and earnings limits that often vary between different income support programs, are a disincentive to increased earnings; </w:t>
      </w:r>
    </w:p>
    <w:p w:rsidRPr="0041472A" w:rsidR="00777D08" w:rsidRDefault="00211F76" w14:paraId="37A79EFE" w14:textId="77777777">
      <w:pPr>
        <w:keepNext/>
        <w:widowControl w:val="0"/>
        <w:numPr>
          <w:ilvl w:val="0"/>
          <w:numId w:val="3"/>
        </w:numPr>
        <w:spacing w:beforeAutospacing="1" w:afterAutospacing="1"/>
        <w:rPr>
          <w:rFonts w:cs="Arial"/>
          <w:szCs w:val="24"/>
        </w:rPr>
      </w:pPr>
      <w:r w:rsidRPr="0041472A">
        <w:rPr>
          <w:rFonts w:cs="Arial"/>
        </w:rPr>
        <w:t>Lack of small-scale risk capital financing; </w:t>
      </w:r>
    </w:p>
    <w:p w:rsidRPr="0041472A" w:rsidR="00777D08" w:rsidRDefault="00211F76" w14:paraId="348B3763" w14:textId="77777777">
      <w:pPr>
        <w:keepNext/>
        <w:widowControl w:val="0"/>
        <w:numPr>
          <w:ilvl w:val="0"/>
          <w:numId w:val="3"/>
        </w:numPr>
        <w:spacing w:beforeAutospacing="1" w:afterAutospacing="1"/>
        <w:rPr>
          <w:rFonts w:cs="Arial"/>
          <w:szCs w:val="24"/>
        </w:rPr>
      </w:pPr>
      <w:r w:rsidRPr="0041472A">
        <w:rPr>
          <w:rFonts w:cs="Arial"/>
        </w:rPr>
        <w:t>Non-accessible, and therefore non-functional, space in vacant upper stories of existing buildings; and </w:t>
      </w:r>
    </w:p>
    <w:p w:rsidRPr="0041472A" w:rsidR="00777D08" w:rsidRDefault="00211F76" w14:paraId="5BD8A4E2" w14:textId="77777777">
      <w:pPr>
        <w:keepNext/>
        <w:widowControl w:val="0"/>
        <w:numPr>
          <w:ilvl w:val="0"/>
          <w:numId w:val="3"/>
        </w:numPr>
        <w:spacing w:beforeAutospacing="1" w:afterAutospacing="1"/>
        <w:rPr>
          <w:rFonts w:cs="Arial"/>
          <w:szCs w:val="24"/>
        </w:rPr>
      </w:pPr>
      <w:r w:rsidRPr="0041472A">
        <w:rPr>
          <w:rFonts w:cs="Arial"/>
        </w:rPr>
        <w:t>A regional imbalance between the growth of regional employment and tax revenues and the budgetary burdens associated with its high concentrations of low-income residents, magnified by the high proportion of tax-exempt property within the City.</w:t>
      </w:r>
    </w:p>
    <w:p w:rsidRPr="00ED22E1" w:rsidR="00777D08" w:rsidRDefault="00777D08" w14:paraId="213A5CBA" w14:textId="77777777">
      <w:pPr>
        <w:rPr>
          <w:rFonts w:cs="Arial"/>
          <w:highlight w:val="lightGray"/>
        </w:rPr>
      </w:pPr>
    </w:p>
    <w:bookmarkEnd w:id="8"/>
    <w:p w:rsidRPr="00ED22E1" w:rsidR="00410EB5" w:rsidP="00410EB5" w:rsidRDefault="00410EB5" w14:paraId="10310B38" w14:textId="6198CEA0">
      <w:pPr>
        <w:spacing w:line="259" w:lineRule="auto"/>
        <w:rPr>
          <w:b/>
          <w:highlight w:val="lightGray"/>
        </w:rPr>
        <w:sectPr w:rsidRPr="00ED22E1" w:rsidR="00410EB5">
          <w:headerReference w:type="default" r:id="rId21"/>
          <w:pgSz w:w="12240" w:h="15840" w:orient="portrait" w:code="1"/>
          <w:pgMar w:top="1440" w:right="1440" w:bottom="1440" w:left="1440" w:header="720" w:footer="720" w:gutter="0"/>
          <w:cols w:space="720"/>
          <w:docGrid w:linePitch="360"/>
        </w:sectPr>
      </w:pPr>
    </w:p>
    <w:p w:rsidRPr="00AA0651" w:rsidR="00777D08" w:rsidRDefault="00211F76" w14:paraId="31AFE463" w14:textId="74E0E557">
      <w:pPr>
        <w:pStyle w:val="Heading2"/>
        <w:rPr>
          <w:rFonts w:ascii="Calibri" w:hAnsi="Calibri"/>
          <w:i w:val="0"/>
        </w:rPr>
      </w:pPr>
      <w:r w:rsidRPr="00AA0651">
        <w:rPr>
          <w:rFonts w:ascii="Calibri" w:hAnsi="Calibri"/>
          <w:i w:val="0"/>
        </w:rPr>
        <w:lastRenderedPageBreak/>
        <w:t>AP-38 Project Summary</w:t>
      </w:r>
    </w:p>
    <w:p w:rsidRPr="00AA0651" w:rsidR="00777D08" w:rsidRDefault="00211F76" w14:paraId="43D9654F" w14:textId="77777777">
      <w:pPr>
        <w:keepNext/>
        <w:widowControl w:val="0"/>
        <w:rPr>
          <w:b/>
          <w:sz w:val="24"/>
          <w:szCs w:val="24"/>
        </w:rPr>
      </w:pPr>
      <w:r w:rsidRPr="00AA0651">
        <w:rPr>
          <w:b/>
          <w:sz w:val="24"/>
          <w:szCs w:val="24"/>
        </w:rPr>
        <w:t>Project Summary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0"/>
        <w:gridCol w:w="2277"/>
        <w:gridCol w:w="6633"/>
      </w:tblGrid>
      <w:tr w:rsidRPr="00ED22E1" w:rsidR="00777D08" w14:paraId="33F5E3CC" w14:textId="77777777">
        <w:trPr>
          <w:cantSplit/>
        </w:trPr>
        <w:tc>
          <w:tcPr>
            <w:tcW w:w="0" w:type="auto"/>
            <w:vMerge w:val="restart"/>
          </w:tcPr>
          <w:p w:rsidRPr="0066436C" w:rsidR="00777D08" w:rsidRDefault="00211F76" w14:paraId="3CABC61E" w14:textId="77777777">
            <w:r w:rsidRPr="0066436C">
              <w:rPr>
                <w:b/>
              </w:rPr>
              <w:t>1</w:t>
            </w:r>
          </w:p>
        </w:tc>
        <w:tc>
          <w:tcPr>
            <w:tcW w:w="0" w:type="auto"/>
          </w:tcPr>
          <w:p w:rsidRPr="0066436C" w:rsidR="00777D08" w:rsidRDefault="00211F76" w14:paraId="24DC3C1A" w14:textId="77777777">
            <w:pPr>
              <w:keepNext/>
              <w:spacing w:before="100" w:after="0"/>
              <w:rPr>
                <w:b/>
              </w:rPr>
            </w:pPr>
            <w:r w:rsidRPr="0066436C">
              <w:rPr>
                <w:b/>
              </w:rPr>
              <w:t>Project Name</w:t>
            </w:r>
          </w:p>
        </w:tc>
        <w:tc>
          <w:tcPr>
            <w:tcW w:w="0" w:type="auto"/>
          </w:tcPr>
          <w:p w:rsidRPr="0066436C" w:rsidR="00777D08" w:rsidRDefault="00211F76" w14:paraId="2FFA64B3" w14:textId="77777777">
            <w:pPr>
              <w:spacing w:before="100" w:after="0"/>
            </w:pPr>
            <w:r w:rsidRPr="0066436C">
              <w:rPr>
                <w:color w:val="000000"/>
              </w:rPr>
              <w:t>Housing and Homelessness Services</w:t>
            </w:r>
          </w:p>
        </w:tc>
      </w:tr>
      <w:tr w:rsidRPr="00ED22E1" w:rsidR="00777D08" w14:paraId="5580CAA4" w14:textId="77777777">
        <w:trPr>
          <w:cantSplit/>
        </w:trPr>
        <w:tc>
          <w:tcPr>
            <w:tcW w:w="0" w:type="auto"/>
            <w:vMerge/>
          </w:tcPr>
          <w:p w:rsidRPr="0066436C" w:rsidR="00777D08" w:rsidRDefault="00777D08" w14:paraId="7B30C87F" w14:textId="77777777"/>
        </w:tc>
        <w:tc>
          <w:tcPr>
            <w:tcW w:w="0" w:type="auto"/>
          </w:tcPr>
          <w:p w:rsidRPr="0066436C" w:rsidR="00777D08" w:rsidRDefault="00211F76" w14:paraId="1988A39B" w14:textId="77777777">
            <w:pPr>
              <w:keepNext/>
              <w:spacing w:before="100" w:after="0"/>
              <w:rPr>
                <w:b/>
              </w:rPr>
            </w:pPr>
            <w:r w:rsidRPr="0066436C">
              <w:rPr>
                <w:b/>
              </w:rPr>
              <w:t>Target Area</w:t>
            </w:r>
          </w:p>
        </w:tc>
        <w:tc>
          <w:tcPr>
            <w:tcW w:w="0" w:type="auto"/>
          </w:tcPr>
          <w:p w:rsidRPr="0066436C" w:rsidR="00777D08" w:rsidRDefault="00211F76" w14:paraId="29F92157" w14:textId="6E08B043">
            <w:pPr>
              <w:spacing w:before="100" w:after="0"/>
            </w:pPr>
            <w:r w:rsidRPr="0066436C">
              <w:rPr>
                <w:color w:val="000000"/>
              </w:rPr>
              <w:t>City-Wide</w:t>
            </w:r>
          </w:p>
        </w:tc>
      </w:tr>
      <w:tr w:rsidRPr="00ED22E1" w:rsidR="00777D08" w14:paraId="37449977" w14:textId="77777777">
        <w:trPr>
          <w:cantSplit/>
        </w:trPr>
        <w:tc>
          <w:tcPr>
            <w:tcW w:w="0" w:type="auto"/>
            <w:vMerge/>
          </w:tcPr>
          <w:p w:rsidRPr="0066436C" w:rsidR="00777D08" w:rsidRDefault="00777D08" w14:paraId="48EACCB8" w14:textId="77777777"/>
        </w:tc>
        <w:tc>
          <w:tcPr>
            <w:tcW w:w="0" w:type="auto"/>
          </w:tcPr>
          <w:p w:rsidRPr="0066436C" w:rsidR="00777D08" w:rsidRDefault="00211F76" w14:paraId="72BC9232" w14:textId="77777777">
            <w:pPr>
              <w:keepNext/>
              <w:spacing w:before="100" w:after="0"/>
              <w:rPr>
                <w:b/>
              </w:rPr>
            </w:pPr>
            <w:r w:rsidRPr="0066436C">
              <w:rPr>
                <w:b/>
              </w:rPr>
              <w:t>Goals Supported</w:t>
            </w:r>
          </w:p>
        </w:tc>
        <w:tc>
          <w:tcPr>
            <w:tcW w:w="0" w:type="auto"/>
          </w:tcPr>
          <w:p w:rsidRPr="0066436C" w:rsidR="00777D08" w:rsidRDefault="00211F76" w14:paraId="474182D2" w14:textId="77777777">
            <w:pPr>
              <w:spacing w:before="100" w:after="0"/>
            </w:pPr>
            <w:r w:rsidRPr="0066436C">
              <w:rPr>
                <w:color w:val="000000"/>
              </w:rPr>
              <w:t>SL 1.1 Provide Public Services Homeless</w:t>
            </w:r>
          </w:p>
        </w:tc>
      </w:tr>
      <w:tr w:rsidRPr="00ED22E1" w:rsidR="00777D08" w14:paraId="1C21BC53" w14:textId="77777777">
        <w:trPr>
          <w:cantSplit/>
        </w:trPr>
        <w:tc>
          <w:tcPr>
            <w:tcW w:w="0" w:type="auto"/>
            <w:vMerge/>
          </w:tcPr>
          <w:p w:rsidRPr="0066436C" w:rsidR="00777D08" w:rsidRDefault="00777D08" w14:paraId="5DC048A3" w14:textId="77777777"/>
        </w:tc>
        <w:tc>
          <w:tcPr>
            <w:tcW w:w="0" w:type="auto"/>
          </w:tcPr>
          <w:p w:rsidRPr="0066436C" w:rsidR="00777D08" w:rsidRDefault="00211F76" w14:paraId="34AF9053" w14:textId="77777777">
            <w:pPr>
              <w:keepNext/>
              <w:spacing w:before="100" w:after="0"/>
              <w:rPr>
                <w:b/>
              </w:rPr>
            </w:pPr>
            <w:r w:rsidRPr="0066436C">
              <w:rPr>
                <w:b/>
              </w:rPr>
              <w:t>Needs Addressed</w:t>
            </w:r>
          </w:p>
        </w:tc>
        <w:tc>
          <w:tcPr>
            <w:tcW w:w="0" w:type="auto"/>
          </w:tcPr>
          <w:p w:rsidRPr="0066436C" w:rsidR="00777D08" w:rsidRDefault="00211F76" w14:paraId="4E408456" w14:textId="77777777">
            <w:pPr>
              <w:spacing w:before="100" w:after="0"/>
            </w:pPr>
            <w:r w:rsidRPr="0066436C">
              <w:rPr>
                <w:color w:val="000000"/>
              </w:rPr>
              <w:t>AFH -Housing Resources to LMI residents, homeowner</w:t>
            </w:r>
            <w:r w:rsidRPr="0066436C">
              <w:rPr>
                <w:color w:val="000000"/>
              </w:rPr>
              <w:br/>
            </w:r>
            <w:r w:rsidRPr="0066436C">
              <w:rPr>
                <w:color w:val="000000"/>
              </w:rPr>
              <w:t>Provide Public Services to At Risk Population</w:t>
            </w:r>
            <w:r w:rsidRPr="0066436C">
              <w:rPr>
                <w:color w:val="000000"/>
              </w:rPr>
              <w:br/>
            </w:r>
            <w:r w:rsidRPr="0066436C">
              <w:rPr>
                <w:color w:val="000000"/>
              </w:rPr>
              <w:t>Protect the Vulnerable</w:t>
            </w:r>
          </w:p>
        </w:tc>
      </w:tr>
      <w:tr w:rsidRPr="00ED22E1" w:rsidR="00777D08" w14:paraId="2D738558" w14:textId="77777777">
        <w:trPr>
          <w:cantSplit/>
        </w:trPr>
        <w:tc>
          <w:tcPr>
            <w:tcW w:w="0" w:type="auto"/>
            <w:vMerge/>
          </w:tcPr>
          <w:p w:rsidRPr="00ED22E1" w:rsidR="00777D08" w:rsidRDefault="00777D08" w14:paraId="554270E7" w14:textId="77777777">
            <w:pPr>
              <w:rPr>
                <w:highlight w:val="lightGray"/>
              </w:rPr>
            </w:pPr>
          </w:p>
        </w:tc>
        <w:tc>
          <w:tcPr>
            <w:tcW w:w="0" w:type="auto"/>
          </w:tcPr>
          <w:p w:rsidRPr="0066436C" w:rsidR="00777D08" w:rsidRDefault="00211F76" w14:paraId="70F222F5" w14:textId="77777777">
            <w:pPr>
              <w:keepNext/>
              <w:spacing w:before="100" w:after="0"/>
              <w:rPr>
                <w:b/>
              </w:rPr>
            </w:pPr>
            <w:r w:rsidRPr="0066436C">
              <w:rPr>
                <w:b/>
              </w:rPr>
              <w:t>Funding</w:t>
            </w:r>
          </w:p>
        </w:tc>
        <w:tc>
          <w:tcPr>
            <w:tcW w:w="0" w:type="auto"/>
          </w:tcPr>
          <w:p w:rsidRPr="00ED22E1" w:rsidR="00777D08" w:rsidRDefault="00442777" w14:paraId="1434176E" w14:textId="34A77C34">
            <w:pPr>
              <w:spacing w:before="100" w:after="0"/>
              <w:rPr>
                <w:highlight w:val="lightGray"/>
              </w:rPr>
            </w:pPr>
            <w:r w:rsidRPr="00DA56F8">
              <w:rPr>
                <w:color w:val="000000"/>
              </w:rPr>
              <w:t>CDBG: $</w:t>
            </w:r>
            <w:r w:rsidR="00DA56F8">
              <w:rPr>
                <w:color w:val="000000"/>
              </w:rPr>
              <w:t>17,500</w:t>
            </w:r>
          </w:p>
        </w:tc>
      </w:tr>
      <w:tr w:rsidRPr="00ED22E1" w:rsidR="00777D08" w14:paraId="7BA22F0B" w14:textId="77777777">
        <w:trPr>
          <w:cantSplit/>
        </w:trPr>
        <w:tc>
          <w:tcPr>
            <w:tcW w:w="0" w:type="auto"/>
            <w:vMerge/>
          </w:tcPr>
          <w:p w:rsidRPr="00ED22E1" w:rsidR="00777D08" w:rsidRDefault="00777D08" w14:paraId="43CF4527" w14:textId="77777777">
            <w:pPr>
              <w:rPr>
                <w:highlight w:val="lightGray"/>
              </w:rPr>
            </w:pPr>
          </w:p>
        </w:tc>
        <w:tc>
          <w:tcPr>
            <w:tcW w:w="0" w:type="auto"/>
          </w:tcPr>
          <w:p w:rsidRPr="0066436C" w:rsidR="00777D08" w:rsidRDefault="00211F76" w14:paraId="019CCE40" w14:textId="77777777">
            <w:pPr>
              <w:keepNext/>
              <w:spacing w:before="100" w:after="0"/>
              <w:rPr>
                <w:b/>
              </w:rPr>
            </w:pPr>
            <w:r w:rsidRPr="0066436C">
              <w:rPr>
                <w:b/>
              </w:rPr>
              <w:t>Description</w:t>
            </w:r>
          </w:p>
        </w:tc>
        <w:tc>
          <w:tcPr>
            <w:tcW w:w="0" w:type="auto"/>
          </w:tcPr>
          <w:p w:rsidRPr="00ED22E1" w:rsidR="00777D08" w:rsidRDefault="0066436C" w14:paraId="77A121FF" w14:textId="45C89579">
            <w:pPr>
              <w:spacing w:before="100" w:after="0"/>
              <w:rPr>
                <w:highlight w:val="lightGray"/>
              </w:rPr>
            </w:pPr>
            <w:r>
              <w:rPr>
                <w:color w:val="000000"/>
              </w:rPr>
              <w:t>T</w:t>
            </w:r>
            <w:r w:rsidRPr="007338B8">
              <w:rPr>
                <w:color w:val="000000"/>
              </w:rPr>
              <w:t>o provide permanent housing placement and Housing First case management services for persons experiencing homelessness.</w:t>
            </w:r>
          </w:p>
        </w:tc>
      </w:tr>
      <w:tr w:rsidRPr="00ED22E1" w:rsidR="00777D08" w14:paraId="264143EE" w14:textId="77777777">
        <w:trPr>
          <w:cantSplit/>
        </w:trPr>
        <w:tc>
          <w:tcPr>
            <w:tcW w:w="0" w:type="auto"/>
            <w:vMerge/>
          </w:tcPr>
          <w:p w:rsidRPr="00ED22E1" w:rsidR="00777D08" w:rsidRDefault="00777D08" w14:paraId="17F3A4AC" w14:textId="77777777">
            <w:pPr>
              <w:rPr>
                <w:highlight w:val="lightGray"/>
              </w:rPr>
            </w:pPr>
          </w:p>
        </w:tc>
        <w:tc>
          <w:tcPr>
            <w:tcW w:w="0" w:type="auto"/>
          </w:tcPr>
          <w:p w:rsidRPr="0066436C" w:rsidR="00777D08" w:rsidRDefault="00211F76" w14:paraId="79010EB5" w14:textId="77777777">
            <w:pPr>
              <w:keepNext/>
              <w:spacing w:before="100" w:after="0"/>
              <w:rPr>
                <w:b/>
              </w:rPr>
            </w:pPr>
            <w:r w:rsidRPr="0066436C">
              <w:rPr>
                <w:b/>
              </w:rPr>
              <w:t>Target Date</w:t>
            </w:r>
          </w:p>
        </w:tc>
        <w:tc>
          <w:tcPr>
            <w:tcW w:w="0" w:type="auto"/>
          </w:tcPr>
          <w:p w:rsidRPr="0066436C" w:rsidR="00777D08" w:rsidRDefault="00211F76" w14:paraId="389E26BF" w14:textId="6E01A999">
            <w:pPr>
              <w:spacing w:before="100" w:after="0"/>
            </w:pPr>
            <w:r w:rsidRPr="0066436C">
              <w:rPr>
                <w:color w:val="000000"/>
              </w:rPr>
              <w:t>6/30/202</w:t>
            </w:r>
            <w:r w:rsidRPr="0066436C" w:rsidR="00752FE4">
              <w:rPr>
                <w:color w:val="000000"/>
              </w:rPr>
              <w:t>2</w:t>
            </w:r>
          </w:p>
        </w:tc>
      </w:tr>
      <w:tr w:rsidRPr="00ED22E1" w:rsidR="00777D08" w14:paraId="69F1FDE4" w14:textId="77777777">
        <w:trPr>
          <w:cantSplit/>
        </w:trPr>
        <w:tc>
          <w:tcPr>
            <w:tcW w:w="0" w:type="auto"/>
            <w:vMerge/>
          </w:tcPr>
          <w:p w:rsidRPr="00ED22E1" w:rsidR="00777D08" w:rsidRDefault="00777D08" w14:paraId="30D7D36F" w14:textId="77777777">
            <w:pPr>
              <w:rPr>
                <w:highlight w:val="lightGray"/>
              </w:rPr>
            </w:pPr>
          </w:p>
        </w:tc>
        <w:tc>
          <w:tcPr>
            <w:tcW w:w="0" w:type="auto"/>
          </w:tcPr>
          <w:p w:rsidRPr="0066436C" w:rsidR="00777D08" w:rsidRDefault="00211F76" w14:paraId="62D71839" w14:textId="77777777">
            <w:pPr>
              <w:keepNext/>
              <w:spacing w:before="100" w:after="0"/>
              <w:rPr>
                <w:rFonts w:asciiTheme="minorHAnsi" w:hAnsiTheme="minorHAnsi"/>
                <w:b/>
              </w:rPr>
            </w:pPr>
            <w:r w:rsidRPr="0066436C">
              <w:rPr>
                <w:rStyle w:val="Strong"/>
                <w:rFonts w:asciiTheme="minorHAnsi" w:hAnsiTheme="minorHAnsi"/>
              </w:rPr>
              <w:t>Estimate the number and type of families that will benefit from the proposed activities</w:t>
            </w:r>
          </w:p>
        </w:tc>
        <w:tc>
          <w:tcPr>
            <w:tcW w:w="0" w:type="auto"/>
          </w:tcPr>
          <w:p w:rsidRPr="0066436C" w:rsidR="00777D08" w:rsidRDefault="00211F76" w14:paraId="6FE2C6D0" w14:textId="4EA98217">
            <w:pPr>
              <w:spacing w:before="100" w:after="0"/>
            </w:pPr>
            <w:r w:rsidRPr="0066436C">
              <w:rPr>
                <w:color w:val="000000"/>
              </w:rPr>
              <w:t xml:space="preserve">Pathways Vermont will serve </w:t>
            </w:r>
            <w:r w:rsidRPr="0066436C" w:rsidR="0066436C">
              <w:rPr>
                <w:color w:val="000000"/>
              </w:rPr>
              <w:t>88</w:t>
            </w:r>
            <w:r w:rsidRPr="0066436C" w:rsidR="008A26BE">
              <w:rPr>
                <w:color w:val="000000"/>
              </w:rPr>
              <w:t xml:space="preserve"> </w:t>
            </w:r>
            <w:r w:rsidRPr="0066436C">
              <w:rPr>
                <w:color w:val="000000"/>
              </w:rPr>
              <w:t>homeless individuals</w:t>
            </w:r>
            <w:r w:rsidR="0034788B">
              <w:rPr>
                <w:color w:val="000000"/>
              </w:rPr>
              <w:t xml:space="preserve"> </w:t>
            </w:r>
            <w:r w:rsidRPr="00707A8F" w:rsidR="0034788B">
              <w:rPr>
                <w:color w:val="000000"/>
              </w:rPr>
              <w:t>through their Expanding Housing First Services in Chittenden County program</w:t>
            </w:r>
            <w:r w:rsidR="00707A8F">
              <w:rPr>
                <w:color w:val="000000"/>
              </w:rPr>
              <w:t>.</w:t>
            </w:r>
          </w:p>
        </w:tc>
      </w:tr>
      <w:tr w:rsidRPr="00ED22E1" w:rsidR="00777D08" w14:paraId="636C8EA6" w14:textId="77777777">
        <w:trPr>
          <w:cantSplit/>
        </w:trPr>
        <w:tc>
          <w:tcPr>
            <w:tcW w:w="0" w:type="auto"/>
            <w:vMerge/>
          </w:tcPr>
          <w:p w:rsidRPr="00ED22E1" w:rsidR="00777D08" w:rsidRDefault="00777D08" w14:paraId="03A5F610" w14:textId="77777777">
            <w:pPr>
              <w:rPr>
                <w:highlight w:val="lightGray"/>
              </w:rPr>
            </w:pPr>
          </w:p>
        </w:tc>
        <w:tc>
          <w:tcPr>
            <w:tcW w:w="0" w:type="auto"/>
          </w:tcPr>
          <w:p w:rsidRPr="0066436C" w:rsidR="00777D08" w:rsidRDefault="00211F76" w14:paraId="10DD7C50" w14:textId="77777777">
            <w:pPr>
              <w:keepNext/>
              <w:spacing w:before="100" w:after="0"/>
              <w:rPr>
                <w:rFonts w:asciiTheme="minorHAnsi" w:hAnsiTheme="minorHAnsi"/>
                <w:b/>
              </w:rPr>
            </w:pPr>
            <w:r w:rsidRPr="0066436C">
              <w:rPr>
                <w:rStyle w:val="Strong"/>
                <w:rFonts w:asciiTheme="minorHAnsi" w:hAnsiTheme="minorHAnsi"/>
              </w:rPr>
              <w:t>Location Description</w:t>
            </w:r>
          </w:p>
        </w:tc>
        <w:tc>
          <w:tcPr>
            <w:tcW w:w="0" w:type="auto"/>
          </w:tcPr>
          <w:p w:rsidRPr="0066436C" w:rsidR="00777D08" w:rsidRDefault="00211F76" w14:paraId="1BF6BAE4" w14:textId="09C7BE03">
            <w:pPr>
              <w:spacing w:before="100" w:after="0"/>
            </w:pPr>
            <w:r w:rsidRPr="0066436C">
              <w:rPr>
                <w:color w:val="000000"/>
              </w:rPr>
              <w:t>Pathways will assist clients throughout Burlington. </w:t>
            </w:r>
          </w:p>
        </w:tc>
      </w:tr>
      <w:tr w:rsidRPr="00ED22E1" w:rsidR="00777D08" w14:paraId="6A4018D2" w14:textId="77777777">
        <w:trPr>
          <w:cantSplit/>
        </w:trPr>
        <w:tc>
          <w:tcPr>
            <w:tcW w:w="0" w:type="auto"/>
            <w:vMerge/>
          </w:tcPr>
          <w:p w:rsidRPr="00ED22E1" w:rsidR="00777D08" w:rsidRDefault="00777D08" w14:paraId="56A95DA1" w14:textId="77777777">
            <w:pPr>
              <w:rPr>
                <w:highlight w:val="lightGray"/>
              </w:rPr>
            </w:pPr>
          </w:p>
        </w:tc>
        <w:tc>
          <w:tcPr>
            <w:tcW w:w="0" w:type="auto"/>
          </w:tcPr>
          <w:p w:rsidRPr="0066436C" w:rsidR="00777D08" w:rsidRDefault="00211F76" w14:paraId="3A79D5D6" w14:textId="77777777">
            <w:pPr>
              <w:keepNext/>
              <w:spacing w:before="100" w:after="0"/>
              <w:rPr>
                <w:rFonts w:asciiTheme="minorHAnsi" w:hAnsiTheme="minorHAnsi"/>
                <w:b/>
              </w:rPr>
            </w:pPr>
            <w:r w:rsidRPr="0066436C">
              <w:rPr>
                <w:rStyle w:val="Strong"/>
                <w:rFonts w:asciiTheme="minorHAnsi" w:hAnsiTheme="minorHAnsi"/>
              </w:rPr>
              <w:t>Planned Activities</w:t>
            </w:r>
          </w:p>
        </w:tc>
        <w:tc>
          <w:tcPr>
            <w:tcW w:w="0" w:type="auto"/>
          </w:tcPr>
          <w:p w:rsidRPr="0066436C" w:rsidR="00777D08" w:rsidRDefault="00211F76" w14:paraId="6F0D3F3E" w14:textId="36BCF31F">
            <w:pPr>
              <w:spacing w:before="100" w:after="0"/>
            </w:pPr>
            <w:r w:rsidRPr="0066436C">
              <w:rPr>
                <w:color w:val="000000"/>
              </w:rPr>
              <w:t xml:space="preserve">To provide </w:t>
            </w:r>
            <w:r w:rsidRPr="0066436C" w:rsidR="0066436C">
              <w:rPr>
                <w:color w:val="000000"/>
              </w:rPr>
              <w:t>permanent housing placement</w:t>
            </w:r>
            <w:r w:rsidRPr="0066436C">
              <w:rPr>
                <w:color w:val="000000"/>
              </w:rPr>
              <w:t xml:space="preserve"> and case management services to persons experiencing homelessness. </w:t>
            </w:r>
          </w:p>
        </w:tc>
      </w:tr>
      <w:tr w:rsidRPr="00ED22E1" w:rsidR="00777D08" w14:paraId="7C14C199" w14:textId="77777777">
        <w:trPr>
          <w:cantSplit/>
        </w:trPr>
        <w:tc>
          <w:tcPr>
            <w:tcW w:w="0" w:type="auto"/>
            <w:vMerge w:val="restart"/>
          </w:tcPr>
          <w:p w:rsidRPr="002952EA" w:rsidR="00777D08" w:rsidRDefault="00211F76" w14:paraId="38050E53" w14:textId="77777777">
            <w:r w:rsidRPr="002952EA">
              <w:rPr>
                <w:b/>
              </w:rPr>
              <w:t>2</w:t>
            </w:r>
          </w:p>
        </w:tc>
        <w:tc>
          <w:tcPr>
            <w:tcW w:w="0" w:type="auto"/>
          </w:tcPr>
          <w:p w:rsidRPr="002952EA" w:rsidR="00777D08" w:rsidRDefault="00211F76" w14:paraId="35035E6B" w14:textId="77777777">
            <w:pPr>
              <w:keepNext/>
              <w:spacing w:before="100" w:after="0"/>
              <w:rPr>
                <w:b/>
              </w:rPr>
            </w:pPr>
            <w:r w:rsidRPr="002952EA">
              <w:rPr>
                <w:b/>
              </w:rPr>
              <w:t>Project Name</w:t>
            </w:r>
          </w:p>
        </w:tc>
        <w:tc>
          <w:tcPr>
            <w:tcW w:w="0" w:type="auto"/>
          </w:tcPr>
          <w:p w:rsidRPr="0066436C" w:rsidR="00777D08" w:rsidRDefault="00211F76" w14:paraId="5D4A07A9" w14:textId="77777777">
            <w:pPr>
              <w:spacing w:before="100" w:after="0"/>
            </w:pPr>
            <w:r w:rsidRPr="0066436C">
              <w:rPr>
                <w:color w:val="000000"/>
              </w:rPr>
              <w:t>Preserving &amp; Increasing Affordable Housing Opportunities</w:t>
            </w:r>
          </w:p>
        </w:tc>
      </w:tr>
      <w:tr w:rsidRPr="00ED22E1" w:rsidR="00777D08" w14:paraId="33AE6EB3" w14:textId="77777777">
        <w:trPr>
          <w:cantSplit/>
        </w:trPr>
        <w:tc>
          <w:tcPr>
            <w:tcW w:w="0" w:type="auto"/>
            <w:vMerge/>
          </w:tcPr>
          <w:p w:rsidRPr="002952EA" w:rsidR="00777D08" w:rsidRDefault="00777D08" w14:paraId="4353F74E" w14:textId="77777777"/>
        </w:tc>
        <w:tc>
          <w:tcPr>
            <w:tcW w:w="0" w:type="auto"/>
          </w:tcPr>
          <w:p w:rsidRPr="002952EA" w:rsidR="00777D08" w:rsidRDefault="00211F76" w14:paraId="07433465" w14:textId="77777777">
            <w:pPr>
              <w:keepNext/>
              <w:spacing w:before="100" w:after="0"/>
              <w:rPr>
                <w:b/>
              </w:rPr>
            </w:pPr>
            <w:r w:rsidRPr="002952EA">
              <w:rPr>
                <w:b/>
              </w:rPr>
              <w:t>Target Area</w:t>
            </w:r>
          </w:p>
        </w:tc>
        <w:tc>
          <w:tcPr>
            <w:tcW w:w="0" w:type="auto"/>
          </w:tcPr>
          <w:p w:rsidRPr="0066436C" w:rsidR="0066436C" w:rsidRDefault="0066436C" w14:paraId="37C3B0FE" w14:textId="6969D2D8">
            <w:pPr>
              <w:spacing w:before="100" w:after="0"/>
              <w:rPr>
                <w:color w:val="000000"/>
              </w:rPr>
            </w:pPr>
            <w:r w:rsidRPr="0066436C">
              <w:rPr>
                <w:color w:val="000000"/>
              </w:rPr>
              <w:t>NEIGHBORHOOD REVITALIZATION STRATEGY AREA</w:t>
            </w:r>
          </w:p>
          <w:p w:rsidRPr="0066436C" w:rsidR="00777D08" w:rsidRDefault="00211F76" w14:paraId="383DBDFD" w14:textId="36F6DE87">
            <w:pPr>
              <w:spacing w:before="100" w:after="0"/>
            </w:pPr>
            <w:r w:rsidRPr="0066436C">
              <w:rPr>
                <w:color w:val="000000"/>
              </w:rPr>
              <w:t>City-Wide</w:t>
            </w:r>
          </w:p>
        </w:tc>
      </w:tr>
      <w:tr w:rsidRPr="00ED22E1" w:rsidR="00777D08" w14:paraId="23D2370B" w14:textId="77777777">
        <w:trPr>
          <w:cantSplit/>
        </w:trPr>
        <w:tc>
          <w:tcPr>
            <w:tcW w:w="0" w:type="auto"/>
            <w:vMerge/>
          </w:tcPr>
          <w:p w:rsidRPr="002952EA" w:rsidR="00777D08" w:rsidRDefault="00777D08" w14:paraId="45D9900F" w14:textId="77777777"/>
        </w:tc>
        <w:tc>
          <w:tcPr>
            <w:tcW w:w="0" w:type="auto"/>
          </w:tcPr>
          <w:p w:rsidRPr="002952EA" w:rsidR="00777D08" w:rsidRDefault="00211F76" w14:paraId="467870C8" w14:textId="77777777">
            <w:pPr>
              <w:keepNext/>
              <w:spacing w:before="100" w:after="0"/>
              <w:rPr>
                <w:b/>
              </w:rPr>
            </w:pPr>
            <w:r w:rsidRPr="002952EA">
              <w:rPr>
                <w:b/>
              </w:rPr>
              <w:t>Goals Supported</w:t>
            </w:r>
          </w:p>
        </w:tc>
        <w:tc>
          <w:tcPr>
            <w:tcW w:w="0" w:type="auto"/>
          </w:tcPr>
          <w:p w:rsidRPr="002952EA" w:rsidR="00777D08" w:rsidRDefault="00211F76" w14:paraId="158B80A0" w14:textId="77777777">
            <w:pPr>
              <w:spacing w:before="100" w:after="0"/>
            </w:pPr>
            <w:r w:rsidRPr="002952EA">
              <w:rPr>
                <w:color w:val="000000"/>
              </w:rPr>
              <w:t>DH 1.1 Protect the Vulnerable - New Perm Supp Hous</w:t>
            </w:r>
            <w:r w:rsidRPr="002952EA">
              <w:rPr>
                <w:color w:val="000000"/>
              </w:rPr>
              <w:br/>
            </w:r>
            <w:r w:rsidRPr="002952EA">
              <w:rPr>
                <w:color w:val="000000"/>
              </w:rPr>
              <w:t>DH1.2 Protect the Vulnerable New Special Need Hsng</w:t>
            </w:r>
            <w:r w:rsidRPr="002952EA">
              <w:rPr>
                <w:color w:val="000000"/>
              </w:rPr>
              <w:br/>
            </w:r>
            <w:r w:rsidRPr="002952EA">
              <w:rPr>
                <w:color w:val="000000"/>
              </w:rPr>
              <w:t>DH 1.3 Create New Affordable Housing</w:t>
            </w:r>
            <w:r w:rsidRPr="002952EA">
              <w:rPr>
                <w:color w:val="000000"/>
              </w:rPr>
              <w:br/>
            </w:r>
            <w:r w:rsidRPr="002952EA">
              <w:rPr>
                <w:color w:val="000000"/>
              </w:rPr>
              <w:t>DH 1.4 Promote new homeownership buyer assist</w:t>
            </w:r>
            <w:r w:rsidRPr="002952EA">
              <w:rPr>
                <w:color w:val="000000"/>
              </w:rPr>
              <w:br/>
            </w:r>
            <w:r w:rsidRPr="002952EA">
              <w:rPr>
                <w:color w:val="000000"/>
              </w:rPr>
              <w:t>DH 2.1 Acquire/Rehab - Rental or Owner Units</w:t>
            </w:r>
            <w:r w:rsidRPr="002952EA">
              <w:rPr>
                <w:color w:val="000000"/>
              </w:rPr>
              <w:br/>
            </w:r>
            <w:r w:rsidRPr="002952EA">
              <w:rPr>
                <w:color w:val="000000"/>
              </w:rPr>
              <w:t>DH 2.2 Protect the Vulnerable - Lead Hazard</w:t>
            </w:r>
          </w:p>
        </w:tc>
      </w:tr>
      <w:tr w:rsidRPr="00ED22E1" w:rsidR="00777D08" w:rsidTr="00223E89" w14:paraId="22AE8012" w14:textId="77777777">
        <w:trPr>
          <w:cantSplit/>
        </w:trPr>
        <w:tc>
          <w:tcPr>
            <w:tcW w:w="0" w:type="auto"/>
            <w:vMerge/>
          </w:tcPr>
          <w:p w:rsidRPr="002952EA" w:rsidR="00777D08" w:rsidRDefault="00777D08" w14:paraId="52966E52" w14:textId="77777777"/>
        </w:tc>
        <w:tc>
          <w:tcPr>
            <w:tcW w:w="0" w:type="auto"/>
          </w:tcPr>
          <w:p w:rsidRPr="002952EA" w:rsidR="00777D08" w:rsidRDefault="00211F76" w14:paraId="70132B02" w14:textId="77777777">
            <w:pPr>
              <w:keepNext/>
              <w:spacing w:before="100" w:after="0"/>
              <w:rPr>
                <w:b/>
              </w:rPr>
            </w:pPr>
            <w:r w:rsidRPr="002952EA">
              <w:rPr>
                <w:b/>
              </w:rPr>
              <w:t>Needs Addressed</w:t>
            </w:r>
          </w:p>
        </w:tc>
        <w:tc>
          <w:tcPr>
            <w:tcW w:w="0" w:type="auto"/>
            <w:shd w:val="clear" w:color="auto" w:fill="auto"/>
          </w:tcPr>
          <w:p w:rsidRPr="00A4391D" w:rsidR="00777D08" w:rsidRDefault="00211F76" w14:paraId="2A65E928" w14:textId="77777777">
            <w:pPr>
              <w:spacing w:before="100" w:after="0"/>
            </w:pPr>
            <w:r w:rsidRPr="00A4391D">
              <w:rPr>
                <w:color w:val="000000"/>
              </w:rPr>
              <w:t>AFH - Maintain or Preserve Affordable Housing</w:t>
            </w:r>
            <w:r w:rsidRPr="00A4391D">
              <w:rPr>
                <w:color w:val="000000"/>
              </w:rPr>
              <w:br/>
            </w:r>
            <w:r w:rsidRPr="00A4391D">
              <w:rPr>
                <w:color w:val="000000"/>
              </w:rPr>
              <w:t>AFH - Increase Affordable Housing Opportunities</w:t>
            </w:r>
            <w:r w:rsidRPr="00A4391D">
              <w:rPr>
                <w:color w:val="000000"/>
              </w:rPr>
              <w:br/>
            </w:r>
            <w:r w:rsidRPr="00A4391D">
              <w:rPr>
                <w:color w:val="000000"/>
              </w:rPr>
              <w:t>AFH -Housing Resources to LMI residents, homeowner</w:t>
            </w:r>
          </w:p>
        </w:tc>
      </w:tr>
      <w:tr w:rsidRPr="00ED22E1" w:rsidR="00777D08" w:rsidTr="00223E89" w14:paraId="57382B8A" w14:textId="77777777">
        <w:trPr>
          <w:cantSplit/>
        </w:trPr>
        <w:tc>
          <w:tcPr>
            <w:tcW w:w="0" w:type="auto"/>
            <w:vMerge/>
          </w:tcPr>
          <w:p w:rsidRPr="002952EA" w:rsidR="00777D08" w:rsidRDefault="00777D08" w14:paraId="1B73F288" w14:textId="77777777"/>
        </w:tc>
        <w:tc>
          <w:tcPr>
            <w:tcW w:w="0" w:type="auto"/>
          </w:tcPr>
          <w:p w:rsidRPr="002952EA" w:rsidR="00777D08" w:rsidRDefault="00211F76" w14:paraId="4A2C0387" w14:textId="77777777">
            <w:pPr>
              <w:keepNext/>
              <w:spacing w:before="100" w:after="0"/>
              <w:rPr>
                <w:b/>
              </w:rPr>
            </w:pPr>
            <w:r w:rsidRPr="002952EA">
              <w:rPr>
                <w:b/>
              </w:rPr>
              <w:t>Funding</w:t>
            </w:r>
          </w:p>
        </w:tc>
        <w:tc>
          <w:tcPr>
            <w:tcW w:w="0" w:type="auto"/>
            <w:shd w:val="clear" w:color="auto" w:fill="auto"/>
          </w:tcPr>
          <w:p w:rsidRPr="00A4391D" w:rsidR="00777D08" w:rsidP="008B6F8D" w:rsidRDefault="00DA56F8" w14:paraId="15902DC2" w14:textId="65902484">
            <w:pPr>
              <w:spacing w:before="100" w:after="0"/>
            </w:pPr>
            <w:r w:rsidRPr="00A4391D">
              <w:rPr>
                <w:color w:val="000000"/>
              </w:rPr>
              <w:t>CDBG: $</w:t>
            </w:r>
            <w:r w:rsidRPr="00A4391D" w:rsidR="00975A00">
              <w:rPr>
                <w:color w:val="000000"/>
              </w:rPr>
              <w:t>2</w:t>
            </w:r>
            <w:r w:rsidRPr="00A4391D" w:rsidR="00223E89">
              <w:rPr>
                <w:color w:val="000000"/>
              </w:rPr>
              <w:t>88</w:t>
            </w:r>
            <w:r w:rsidRPr="00A4391D" w:rsidR="00975A00">
              <w:rPr>
                <w:color w:val="000000"/>
              </w:rPr>
              <w:t>,</w:t>
            </w:r>
            <w:r w:rsidRPr="00A4391D" w:rsidR="00223E89">
              <w:rPr>
                <w:color w:val="000000"/>
              </w:rPr>
              <w:t>000</w:t>
            </w:r>
            <w:r w:rsidRPr="00A4391D" w:rsidR="00211F76">
              <w:rPr>
                <w:color w:val="000000"/>
              </w:rPr>
              <w:br/>
            </w:r>
            <w:r w:rsidRPr="00A4391D" w:rsidR="00211F76">
              <w:rPr>
                <w:color w:val="000000"/>
              </w:rPr>
              <w:t>HOME: $</w:t>
            </w:r>
            <w:r w:rsidRPr="00A4391D" w:rsidR="008B6F8D">
              <w:rPr>
                <w:color w:val="000000"/>
              </w:rPr>
              <w:t>37</w:t>
            </w:r>
            <w:r w:rsidRPr="00A4391D" w:rsidR="002952EA">
              <w:rPr>
                <w:color w:val="000000"/>
              </w:rPr>
              <w:t>2,972</w:t>
            </w:r>
          </w:p>
        </w:tc>
      </w:tr>
      <w:tr w:rsidRPr="00ED22E1" w:rsidR="00777D08" w14:paraId="7BA715E4" w14:textId="77777777">
        <w:trPr>
          <w:cantSplit/>
        </w:trPr>
        <w:tc>
          <w:tcPr>
            <w:tcW w:w="0" w:type="auto"/>
            <w:vMerge/>
          </w:tcPr>
          <w:p w:rsidRPr="00ED22E1" w:rsidR="00777D08" w:rsidRDefault="00777D08" w14:paraId="20EB3297" w14:textId="77777777">
            <w:pPr>
              <w:rPr>
                <w:highlight w:val="lightGray"/>
              </w:rPr>
            </w:pPr>
          </w:p>
        </w:tc>
        <w:tc>
          <w:tcPr>
            <w:tcW w:w="0" w:type="auto"/>
          </w:tcPr>
          <w:p w:rsidRPr="002952EA" w:rsidR="00777D08" w:rsidRDefault="00211F76" w14:paraId="7A007C15" w14:textId="77777777">
            <w:pPr>
              <w:keepNext/>
              <w:spacing w:before="100" w:after="0"/>
              <w:rPr>
                <w:b/>
              </w:rPr>
            </w:pPr>
            <w:r w:rsidRPr="002952EA">
              <w:rPr>
                <w:b/>
              </w:rPr>
              <w:t>Description</w:t>
            </w:r>
          </w:p>
        </w:tc>
        <w:tc>
          <w:tcPr>
            <w:tcW w:w="0" w:type="auto"/>
          </w:tcPr>
          <w:p w:rsidRPr="00A4391D" w:rsidR="00777D08" w:rsidRDefault="00211F76" w14:paraId="37DF1032" w14:textId="04594120">
            <w:pPr>
              <w:spacing w:before="100" w:after="0"/>
              <w:rPr>
                <w:rFonts w:ascii="Verdana" w:hAnsi="Verdana"/>
                <w:color w:val="000000"/>
                <w:sz w:val="19"/>
                <w:szCs w:val="19"/>
                <w:shd w:val="clear" w:color="auto" w:fill="FFFFFF"/>
              </w:rPr>
            </w:pPr>
            <w:r w:rsidRPr="00A4391D">
              <w:rPr>
                <w:color w:val="000000"/>
              </w:rPr>
              <w:t>To assist agencies that provide development and stewardship of permanently affordable homes including to build and/renovate affordable housing. To maintain affordable housing by providing lead hazard mitigation, healthy home rehabilitation and emergency rehabilitation. To assist low and moderate income residents to become homeowners with non-CDBG funds.</w:t>
            </w:r>
            <w:r w:rsidRPr="00A4391D" w:rsidR="00C04F1D">
              <w:rPr>
                <w:color w:val="000000"/>
              </w:rPr>
              <w:t xml:space="preserve"> HOME funds we will be allocated as follows: $290,090 to projects to be determined, $20,720 to CHDO operating grant(s), and $62,162 to CHDO Reserve grant(s). </w:t>
            </w:r>
            <w:r w:rsidRPr="00A4391D" w:rsidR="00301321">
              <w:rPr>
                <w:color w:val="000000"/>
              </w:rPr>
              <w:t>$</w:t>
            </w:r>
            <w:r w:rsidRPr="00A4391D" w:rsidR="00223E89">
              <w:rPr>
                <w:color w:val="000000"/>
              </w:rPr>
              <w:t>90,000</w:t>
            </w:r>
            <w:r w:rsidRPr="00A4391D" w:rsidR="00301321">
              <w:rPr>
                <w:color w:val="000000"/>
              </w:rPr>
              <w:t xml:space="preserve"> of the CDBG funds will be awarded to</w:t>
            </w:r>
            <w:r w:rsidRPr="00A4391D" w:rsidR="00707A8F">
              <w:rPr>
                <w:color w:val="000000"/>
              </w:rPr>
              <w:t xml:space="preserve"> Living Well Group Ethan Allen</w:t>
            </w:r>
            <w:r w:rsidRPr="00A4391D" w:rsidR="00294A23">
              <w:rPr>
                <w:color w:val="000000"/>
              </w:rPr>
              <w:t xml:space="preserve"> to preserve affordable housing for seniors. </w:t>
            </w:r>
            <w:r w:rsidRPr="00A4391D" w:rsidR="00707A8F">
              <w:rPr>
                <w:color w:val="000000"/>
              </w:rPr>
              <w:t xml:space="preserve"> </w:t>
            </w:r>
            <w:r w:rsidRPr="00A4391D" w:rsidR="00223E89">
              <w:rPr>
                <w:color w:val="000000"/>
              </w:rPr>
              <w:t xml:space="preserve">$170,000 of the CDBG funds will be awarded to ANEW place to rehabilitate 5 rooms and improve handicap accessibility for their Champlain Inn Low Barrier Shelter. </w:t>
            </w:r>
            <w:r w:rsidRPr="00A4391D" w:rsidR="00301321">
              <w:rPr>
                <w:color w:val="000000"/>
              </w:rPr>
              <w:t>The balance of the CDBG funds, $</w:t>
            </w:r>
            <w:r w:rsidRPr="00A4391D" w:rsidR="00223E89">
              <w:rPr>
                <w:color w:val="000000"/>
              </w:rPr>
              <w:t>28,000</w:t>
            </w:r>
            <w:r w:rsidRPr="00A4391D" w:rsidR="00301321">
              <w:rPr>
                <w:color w:val="000000"/>
              </w:rPr>
              <w:t xml:space="preserve">, will be allocated to the Homeowner Initiatives Program (HIP) to provide emergency grants/loans to fund </w:t>
            </w:r>
            <w:r w:rsidRPr="00A4391D" w:rsidR="00157EE4">
              <w:rPr>
                <w:color w:val="000000"/>
              </w:rPr>
              <w:t>home rehabilitation projects and repairs.</w:t>
            </w:r>
          </w:p>
          <w:p w:rsidRPr="00A4391D" w:rsidR="00301321" w:rsidRDefault="00301321" w14:paraId="7FA5186D" w14:textId="1B982C10">
            <w:pPr>
              <w:spacing w:before="100" w:after="0"/>
            </w:pPr>
          </w:p>
        </w:tc>
      </w:tr>
      <w:tr w:rsidRPr="00ED22E1" w:rsidR="00777D08" w14:paraId="5FD1A401" w14:textId="77777777">
        <w:trPr>
          <w:cantSplit/>
        </w:trPr>
        <w:tc>
          <w:tcPr>
            <w:tcW w:w="0" w:type="auto"/>
            <w:vMerge/>
          </w:tcPr>
          <w:p w:rsidRPr="00ED22E1" w:rsidR="00777D08" w:rsidRDefault="00777D08" w14:paraId="53FFB540" w14:textId="77777777">
            <w:pPr>
              <w:rPr>
                <w:highlight w:val="lightGray"/>
              </w:rPr>
            </w:pPr>
          </w:p>
        </w:tc>
        <w:tc>
          <w:tcPr>
            <w:tcW w:w="0" w:type="auto"/>
          </w:tcPr>
          <w:p w:rsidRPr="002952EA" w:rsidR="00777D08" w:rsidRDefault="00211F76" w14:paraId="13D947F9" w14:textId="77777777">
            <w:pPr>
              <w:keepNext/>
              <w:spacing w:before="100" w:after="0"/>
              <w:rPr>
                <w:b/>
              </w:rPr>
            </w:pPr>
            <w:r w:rsidRPr="002952EA">
              <w:rPr>
                <w:b/>
              </w:rPr>
              <w:t>Target Date</w:t>
            </w:r>
          </w:p>
        </w:tc>
        <w:tc>
          <w:tcPr>
            <w:tcW w:w="0" w:type="auto"/>
          </w:tcPr>
          <w:p w:rsidRPr="002952EA" w:rsidR="00777D08" w:rsidRDefault="00211F76" w14:paraId="11AAC844" w14:textId="387D73D8">
            <w:pPr>
              <w:spacing w:before="100" w:after="0"/>
            </w:pPr>
            <w:r w:rsidRPr="002952EA">
              <w:rPr>
                <w:color w:val="000000"/>
              </w:rPr>
              <w:t>6/30/202</w:t>
            </w:r>
            <w:r w:rsidRPr="002952EA" w:rsidR="002952EA">
              <w:rPr>
                <w:color w:val="000000"/>
              </w:rPr>
              <w:t>2</w:t>
            </w:r>
          </w:p>
        </w:tc>
      </w:tr>
      <w:tr w:rsidRPr="00ED22E1" w:rsidR="00777D08" w14:paraId="107E3111" w14:textId="77777777">
        <w:trPr>
          <w:cantSplit/>
        </w:trPr>
        <w:tc>
          <w:tcPr>
            <w:tcW w:w="0" w:type="auto"/>
            <w:vMerge/>
          </w:tcPr>
          <w:p w:rsidRPr="00ED22E1" w:rsidR="00777D08" w:rsidRDefault="00777D08" w14:paraId="088DA943" w14:textId="77777777">
            <w:pPr>
              <w:rPr>
                <w:highlight w:val="lightGray"/>
              </w:rPr>
            </w:pPr>
          </w:p>
        </w:tc>
        <w:tc>
          <w:tcPr>
            <w:tcW w:w="0" w:type="auto"/>
          </w:tcPr>
          <w:p w:rsidRPr="002952EA" w:rsidR="00777D08" w:rsidRDefault="00211F76" w14:paraId="3DA31C39" w14:textId="77777777">
            <w:pPr>
              <w:keepNext/>
              <w:spacing w:before="100" w:after="0"/>
              <w:rPr>
                <w:rFonts w:asciiTheme="minorHAnsi" w:hAnsiTheme="minorHAnsi"/>
                <w:b/>
              </w:rPr>
            </w:pPr>
            <w:r w:rsidRPr="002952EA">
              <w:rPr>
                <w:rStyle w:val="Strong"/>
                <w:rFonts w:asciiTheme="minorHAnsi" w:hAnsiTheme="minorHAnsi"/>
              </w:rPr>
              <w:t>Estimate the number and type of families that will benefit from the proposed activities</w:t>
            </w:r>
          </w:p>
        </w:tc>
        <w:tc>
          <w:tcPr>
            <w:tcW w:w="0" w:type="auto"/>
          </w:tcPr>
          <w:p w:rsidRPr="00A4391D" w:rsidR="00777D08" w:rsidRDefault="00841C74" w14:paraId="5259C998" w14:textId="22E82B63">
            <w:pPr>
              <w:spacing w:before="100" w:after="0"/>
            </w:pPr>
            <w:r w:rsidRPr="00A4391D">
              <w:rPr>
                <w:color w:val="000000"/>
              </w:rPr>
              <w:t xml:space="preserve">3 </w:t>
            </w:r>
            <w:r w:rsidRPr="00A4391D" w:rsidR="00865B0B">
              <w:rPr>
                <w:color w:val="000000"/>
              </w:rPr>
              <w:t xml:space="preserve">housing unit </w:t>
            </w:r>
            <w:r w:rsidRPr="00A4391D" w:rsidR="008827DB">
              <w:rPr>
                <w:color w:val="000000"/>
              </w:rPr>
              <w:t xml:space="preserve">HOME Projects </w:t>
            </w:r>
          </w:p>
          <w:p w:rsidRPr="00A4391D" w:rsidR="00777D08" w:rsidRDefault="00223E89" w14:paraId="59979FD6" w14:textId="675C2590">
            <w:pPr>
              <w:spacing w:before="100" w:after="0"/>
            </w:pPr>
            <w:r w:rsidRPr="00A4391D">
              <w:rPr>
                <w:color w:val="000000"/>
              </w:rPr>
              <w:t>2</w:t>
            </w:r>
            <w:r w:rsidRPr="00A4391D" w:rsidR="00211F76">
              <w:rPr>
                <w:color w:val="000000"/>
              </w:rPr>
              <w:t xml:space="preserve"> homeowners through the HIP program</w:t>
            </w:r>
          </w:p>
          <w:p w:rsidRPr="00A4391D" w:rsidR="00777D08" w:rsidRDefault="002952EA" w14:paraId="287C103D" w14:textId="3FDA7452">
            <w:pPr>
              <w:spacing w:before="100" w:after="0"/>
              <w:rPr>
                <w:color w:val="000000"/>
              </w:rPr>
            </w:pPr>
            <w:r w:rsidRPr="00A4391D">
              <w:rPr>
                <w:color w:val="000000"/>
              </w:rPr>
              <w:t>44</w:t>
            </w:r>
            <w:r w:rsidRPr="00A4391D" w:rsidR="00211F76">
              <w:rPr>
                <w:color w:val="000000"/>
              </w:rPr>
              <w:t xml:space="preserve"> households through the Lead program</w:t>
            </w:r>
          </w:p>
          <w:p w:rsidRPr="00A4391D" w:rsidR="00777D08" w:rsidRDefault="00921AE5" w14:paraId="5DA0E0AF" w14:textId="77777777">
            <w:pPr>
              <w:spacing w:before="100" w:after="0"/>
              <w:rPr>
                <w:color w:val="000000"/>
              </w:rPr>
            </w:pPr>
            <w:r w:rsidRPr="00A4391D">
              <w:rPr>
                <w:color w:val="000000"/>
              </w:rPr>
              <w:t>29</w:t>
            </w:r>
            <w:r w:rsidRPr="00A4391D" w:rsidR="002952EA">
              <w:rPr>
                <w:color w:val="000000"/>
              </w:rPr>
              <w:t xml:space="preserve"> </w:t>
            </w:r>
            <w:r w:rsidRPr="00A4391D" w:rsidR="00992D3F">
              <w:rPr>
                <w:color w:val="000000"/>
              </w:rPr>
              <w:t>senior resident</w:t>
            </w:r>
            <w:r w:rsidRPr="00A4391D">
              <w:rPr>
                <w:color w:val="000000"/>
              </w:rPr>
              <w:t xml:space="preserve"> units at Ethan Allen Residence</w:t>
            </w:r>
          </w:p>
          <w:p w:rsidRPr="00A4391D" w:rsidR="00223E89" w:rsidRDefault="003A0E00" w14:paraId="12DBACBB" w14:textId="30426453">
            <w:pPr>
              <w:spacing w:before="100" w:after="0"/>
            </w:pPr>
            <w:r w:rsidRPr="00A4391D">
              <w:t>50</w:t>
            </w:r>
            <w:r w:rsidRPr="00A4391D" w:rsidR="00223E89">
              <w:t xml:space="preserve"> residents at Champlain Inn Shelter</w:t>
            </w:r>
          </w:p>
        </w:tc>
      </w:tr>
      <w:tr w:rsidRPr="00ED22E1" w:rsidR="00777D08" w14:paraId="180A5D06" w14:textId="77777777">
        <w:trPr>
          <w:cantSplit/>
        </w:trPr>
        <w:tc>
          <w:tcPr>
            <w:tcW w:w="0" w:type="auto"/>
            <w:vMerge/>
          </w:tcPr>
          <w:p w:rsidRPr="00ED22E1" w:rsidR="00777D08" w:rsidRDefault="00777D08" w14:paraId="542D1651" w14:textId="77777777">
            <w:pPr>
              <w:rPr>
                <w:highlight w:val="lightGray"/>
              </w:rPr>
            </w:pPr>
          </w:p>
        </w:tc>
        <w:tc>
          <w:tcPr>
            <w:tcW w:w="0" w:type="auto"/>
          </w:tcPr>
          <w:p w:rsidRPr="00E0005E" w:rsidR="00777D08" w:rsidRDefault="00211F76" w14:paraId="60BE03A8" w14:textId="77777777">
            <w:pPr>
              <w:keepNext/>
              <w:spacing w:before="100" w:after="0"/>
              <w:rPr>
                <w:rFonts w:asciiTheme="minorHAnsi" w:hAnsiTheme="minorHAnsi"/>
                <w:b/>
              </w:rPr>
            </w:pPr>
            <w:r w:rsidRPr="00E0005E">
              <w:rPr>
                <w:rStyle w:val="Strong"/>
                <w:rFonts w:asciiTheme="minorHAnsi" w:hAnsiTheme="minorHAnsi"/>
              </w:rPr>
              <w:t>Location Description</w:t>
            </w:r>
          </w:p>
        </w:tc>
        <w:tc>
          <w:tcPr>
            <w:tcW w:w="0" w:type="auto"/>
          </w:tcPr>
          <w:p w:rsidRPr="00A4391D" w:rsidR="00777D08" w:rsidRDefault="008827DB" w14:paraId="749F22E3" w14:textId="606C68FB">
            <w:pPr>
              <w:spacing w:before="100" w:after="0"/>
            </w:pPr>
            <w:r w:rsidRPr="00A4391D">
              <w:rPr>
                <w:color w:val="000000"/>
              </w:rPr>
              <w:t>Rehabilitation, s</w:t>
            </w:r>
            <w:r w:rsidRPr="00A4391D" w:rsidR="00211F76">
              <w:rPr>
                <w:color w:val="000000"/>
              </w:rPr>
              <w:t>ingle family rehab</w:t>
            </w:r>
            <w:r w:rsidRPr="00A4391D">
              <w:rPr>
                <w:color w:val="000000"/>
              </w:rPr>
              <w:t>,</w:t>
            </w:r>
            <w:r w:rsidRPr="00A4391D" w:rsidR="00211F76">
              <w:rPr>
                <w:color w:val="000000"/>
              </w:rPr>
              <w:t xml:space="preserve"> and lead remediation projects will take place in the NRSA as a priority but may encompass other areas.</w:t>
            </w:r>
            <w:r w:rsidRPr="00A4391D" w:rsidR="00E0005E">
              <w:rPr>
                <w:color w:val="000000"/>
              </w:rPr>
              <w:t xml:space="preserve"> New affordable housing units will take place City-wide. </w:t>
            </w:r>
            <w:r w:rsidRPr="00A4391D" w:rsidR="00211F76">
              <w:rPr>
                <w:color w:val="000000"/>
              </w:rPr>
              <w:t> </w:t>
            </w:r>
          </w:p>
        </w:tc>
      </w:tr>
      <w:tr w:rsidRPr="00ED22E1" w:rsidR="00777D08" w14:paraId="1DF78357" w14:textId="77777777">
        <w:trPr>
          <w:cantSplit/>
        </w:trPr>
        <w:tc>
          <w:tcPr>
            <w:tcW w:w="0" w:type="auto"/>
            <w:vMerge/>
          </w:tcPr>
          <w:p w:rsidRPr="00ED22E1" w:rsidR="00777D08" w:rsidRDefault="00777D08" w14:paraId="609F5AB6" w14:textId="77777777">
            <w:pPr>
              <w:rPr>
                <w:highlight w:val="lightGray"/>
              </w:rPr>
            </w:pPr>
          </w:p>
        </w:tc>
        <w:tc>
          <w:tcPr>
            <w:tcW w:w="0" w:type="auto"/>
          </w:tcPr>
          <w:p w:rsidRPr="00865B0B" w:rsidR="00777D08" w:rsidRDefault="00211F76" w14:paraId="5C67E669" w14:textId="77777777">
            <w:pPr>
              <w:keepNext/>
              <w:spacing w:before="100" w:after="0"/>
              <w:rPr>
                <w:rFonts w:asciiTheme="minorHAnsi" w:hAnsiTheme="minorHAnsi"/>
                <w:b/>
              </w:rPr>
            </w:pPr>
            <w:r w:rsidRPr="00865B0B">
              <w:rPr>
                <w:rStyle w:val="Strong"/>
                <w:rFonts w:asciiTheme="minorHAnsi" w:hAnsiTheme="minorHAnsi"/>
              </w:rPr>
              <w:t>Planned Activities</w:t>
            </w:r>
          </w:p>
        </w:tc>
        <w:tc>
          <w:tcPr>
            <w:tcW w:w="0" w:type="auto"/>
          </w:tcPr>
          <w:p w:rsidRPr="00865B0B" w:rsidR="00777D08" w:rsidRDefault="00211F76" w14:paraId="113C3364" w14:textId="27D52294">
            <w:pPr>
              <w:spacing w:before="100" w:after="0"/>
            </w:pPr>
            <w:r w:rsidRPr="00865B0B">
              <w:rPr>
                <w:color w:val="000000"/>
              </w:rPr>
              <w:t xml:space="preserve">CEDO will administer the Housing Improvement Program for LMI owner occupied households needing emergency repair and assistance to remain safely in their homes, as well as complete lead remediation at </w:t>
            </w:r>
            <w:r w:rsidRPr="00865B0B" w:rsidR="005F7717">
              <w:rPr>
                <w:color w:val="000000"/>
              </w:rPr>
              <w:t>40</w:t>
            </w:r>
            <w:r w:rsidRPr="00865B0B">
              <w:rPr>
                <w:color w:val="000000"/>
              </w:rPr>
              <w:t xml:space="preserve"> rental units and 4 homeowner units through the CEDO Lead Program.</w:t>
            </w:r>
          </w:p>
          <w:p w:rsidRPr="00865B0B" w:rsidR="00857DB9" w:rsidRDefault="00857DB9" w14:paraId="3E3C00B1" w14:textId="77D9F853">
            <w:pPr>
              <w:spacing w:before="100" w:after="0"/>
              <w:rPr>
                <w:color w:val="000000"/>
              </w:rPr>
            </w:pPr>
            <w:r w:rsidRPr="00865B0B">
              <w:rPr>
                <w:color w:val="000000"/>
              </w:rPr>
              <w:t>HOME funds</w:t>
            </w:r>
            <w:r w:rsidRPr="00865B0B" w:rsidDel="00857DB9">
              <w:rPr>
                <w:color w:val="000000"/>
              </w:rPr>
              <w:t xml:space="preserve"> </w:t>
            </w:r>
            <w:r w:rsidRPr="00865B0B">
              <w:rPr>
                <w:color w:val="000000"/>
              </w:rPr>
              <w:t xml:space="preserve">will assist </w:t>
            </w:r>
            <w:r w:rsidRPr="00865B0B" w:rsidR="00865B0B">
              <w:rPr>
                <w:color w:val="000000"/>
              </w:rPr>
              <w:t>in</w:t>
            </w:r>
            <w:r w:rsidRPr="00865B0B">
              <w:rPr>
                <w:color w:val="000000"/>
              </w:rPr>
              <w:t xml:space="preserve"> rental and/or homebuyer housing through new construction and/or rehabilitation. Location to be determined.</w:t>
            </w:r>
          </w:p>
          <w:p w:rsidRPr="00865B0B" w:rsidR="00777D08" w:rsidRDefault="00857DB9" w14:paraId="4D8C44BD" w14:textId="4CC70344">
            <w:pPr>
              <w:spacing w:before="100" w:after="0"/>
            </w:pPr>
            <w:r w:rsidRPr="00865B0B">
              <w:rPr>
                <w:color w:val="000000"/>
              </w:rPr>
              <w:t xml:space="preserve">CHT will </w:t>
            </w:r>
            <w:r w:rsidRPr="00865B0B" w:rsidR="005F7717">
              <w:rPr>
                <w:color w:val="000000"/>
              </w:rPr>
              <w:t>construct</w:t>
            </w:r>
            <w:r w:rsidRPr="00865B0B">
              <w:rPr>
                <w:color w:val="000000"/>
              </w:rPr>
              <w:t xml:space="preserve"> </w:t>
            </w:r>
            <w:r w:rsidRPr="00865B0B" w:rsidR="005F7717">
              <w:rPr>
                <w:color w:val="000000"/>
              </w:rPr>
              <w:t>24</w:t>
            </w:r>
            <w:r w:rsidRPr="00865B0B">
              <w:rPr>
                <w:color w:val="000000"/>
              </w:rPr>
              <w:t xml:space="preserve"> </w:t>
            </w:r>
            <w:r w:rsidRPr="00865B0B" w:rsidR="005F7717">
              <w:rPr>
                <w:color w:val="000000"/>
              </w:rPr>
              <w:t xml:space="preserve">affordable housing units. </w:t>
            </w:r>
            <w:r w:rsidRPr="00865B0B">
              <w:rPr>
                <w:color w:val="000000"/>
              </w:rPr>
              <w:t xml:space="preserve"> </w:t>
            </w:r>
          </w:p>
          <w:p w:rsidRPr="00865B0B" w:rsidR="00777D08" w:rsidRDefault="00211F76" w14:paraId="1935F675" w14:textId="77777777">
            <w:pPr>
              <w:spacing w:before="100" w:after="0"/>
            </w:pPr>
            <w:r w:rsidRPr="00865B0B">
              <w:rPr>
                <w:color w:val="000000"/>
              </w:rPr>
              <w:t>The Section 8 Homeownership Program and CHT's Shared Equity Program will provide direct assistance to 5 new homeowners. </w:t>
            </w:r>
          </w:p>
          <w:p w:rsidRPr="00865B0B" w:rsidR="00777D08" w:rsidRDefault="00777D08" w14:paraId="463C9A48" w14:textId="7A8EE097">
            <w:pPr>
              <w:spacing w:before="100" w:after="0"/>
            </w:pPr>
          </w:p>
        </w:tc>
      </w:tr>
      <w:tr w:rsidRPr="00ED22E1" w:rsidR="00777D08" w14:paraId="7F6F0689" w14:textId="77777777">
        <w:trPr>
          <w:cantSplit/>
        </w:trPr>
        <w:tc>
          <w:tcPr>
            <w:tcW w:w="0" w:type="auto"/>
            <w:vMerge w:val="restart"/>
          </w:tcPr>
          <w:p w:rsidRPr="00E0005E" w:rsidR="00777D08" w:rsidRDefault="00AF5F64" w14:paraId="21D6318C" w14:textId="6194A013">
            <w:r w:rsidRPr="00E0005E">
              <w:rPr>
                <w:b/>
              </w:rPr>
              <w:lastRenderedPageBreak/>
              <w:t>3</w:t>
            </w:r>
          </w:p>
        </w:tc>
        <w:tc>
          <w:tcPr>
            <w:tcW w:w="0" w:type="auto"/>
          </w:tcPr>
          <w:p w:rsidRPr="00E0005E" w:rsidR="00777D08" w:rsidRDefault="00211F76" w14:paraId="313798B5" w14:textId="77777777">
            <w:pPr>
              <w:keepNext/>
              <w:spacing w:before="100" w:after="0"/>
              <w:rPr>
                <w:b/>
              </w:rPr>
            </w:pPr>
            <w:r w:rsidRPr="00E0005E">
              <w:rPr>
                <w:b/>
              </w:rPr>
              <w:t>Project Name</w:t>
            </w:r>
          </w:p>
        </w:tc>
        <w:tc>
          <w:tcPr>
            <w:tcW w:w="0" w:type="auto"/>
          </w:tcPr>
          <w:p w:rsidRPr="00E0005E" w:rsidR="00777D08" w:rsidRDefault="00211F76" w14:paraId="3CEA3138" w14:textId="77777777">
            <w:pPr>
              <w:spacing w:before="100" w:after="0"/>
            </w:pPr>
            <w:r w:rsidRPr="00E0005E">
              <w:rPr>
                <w:color w:val="000000"/>
              </w:rPr>
              <w:t>MicroEnterprise Assistance</w:t>
            </w:r>
          </w:p>
        </w:tc>
      </w:tr>
      <w:tr w:rsidRPr="00ED22E1" w:rsidR="00777D08" w14:paraId="21E83058" w14:textId="77777777">
        <w:trPr>
          <w:cantSplit/>
        </w:trPr>
        <w:tc>
          <w:tcPr>
            <w:tcW w:w="0" w:type="auto"/>
            <w:vMerge/>
          </w:tcPr>
          <w:p w:rsidRPr="00E0005E" w:rsidR="00777D08" w:rsidRDefault="00777D08" w14:paraId="615AA3C3" w14:textId="77777777"/>
        </w:tc>
        <w:tc>
          <w:tcPr>
            <w:tcW w:w="0" w:type="auto"/>
          </w:tcPr>
          <w:p w:rsidRPr="00E0005E" w:rsidR="00777D08" w:rsidRDefault="00211F76" w14:paraId="6D49628D" w14:textId="77777777">
            <w:pPr>
              <w:keepNext/>
              <w:spacing w:before="100" w:after="0"/>
              <w:rPr>
                <w:b/>
              </w:rPr>
            </w:pPr>
            <w:r w:rsidRPr="00E0005E">
              <w:rPr>
                <w:b/>
              </w:rPr>
              <w:t>Target Area</w:t>
            </w:r>
          </w:p>
        </w:tc>
        <w:tc>
          <w:tcPr>
            <w:tcW w:w="0" w:type="auto"/>
          </w:tcPr>
          <w:p w:rsidRPr="00E0005E" w:rsidR="00777D08" w:rsidRDefault="00211F76" w14:paraId="3356BEF3" w14:textId="77777777">
            <w:pPr>
              <w:spacing w:before="100" w:after="0"/>
            </w:pPr>
            <w:r w:rsidRPr="00E0005E">
              <w:rPr>
                <w:color w:val="000000"/>
              </w:rPr>
              <w:t>NEIGHBORHOOD REVITALIZATION STRATEGY AREA</w:t>
            </w:r>
            <w:r w:rsidRPr="00E0005E">
              <w:rPr>
                <w:color w:val="000000"/>
              </w:rPr>
              <w:br/>
            </w:r>
            <w:r w:rsidRPr="00E0005E">
              <w:rPr>
                <w:color w:val="000000"/>
              </w:rPr>
              <w:t>City-Wide</w:t>
            </w:r>
          </w:p>
        </w:tc>
      </w:tr>
      <w:tr w:rsidRPr="00ED22E1" w:rsidR="00777D08" w14:paraId="7F697C40" w14:textId="77777777">
        <w:trPr>
          <w:cantSplit/>
        </w:trPr>
        <w:tc>
          <w:tcPr>
            <w:tcW w:w="0" w:type="auto"/>
            <w:vMerge/>
          </w:tcPr>
          <w:p w:rsidRPr="00E0005E" w:rsidR="00777D08" w:rsidRDefault="00777D08" w14:paraId="63935F0E" w14:textId="77777777"/>
        </w:tc>
        <w:tc>
          <w:tcPr>
            <w:tcW w:w="0" w:type="auto"/>
          </w:tcPr>
          <w:p w:rsidRPr="00E0005E" w:rsidR="00777D08" w:rsidRDefault="00211F76" w14:paraId="27B29A0B" w14:textId="77777777">
            <w:pPr>
              <w:keepNext/>
              <w:spacing w:before="100" w:after="0"/>
              <w:rPr>
                <w:b/>
              </w:rPr>
            </w:pPr>
            <w:r w:rsidRPr="00E0005E">
              <w:rPr>
                <w:b/>
              </w:rPr>
              <w:t>Goals Supported</w:t>
            </w:r>
          </w:p>
        </w:tc>
        <w:tc>
          <w:tcPr>
            <w:tcW w:w="0" w:type="auto"/>
          </w:tcPr>
          <w:p w:rsidRPr="00EF1A90" w:rsidR="00777D08" w:rsidRDefault="00211F76" w14:paraId="09CC5870" w14:textId="77777777">
            <w:pPr>
              <w:spacing w:before="100" w:after="0"/>
            </w:pPr>
            <w:r w:rsidRPr="00EF1A90">
              <w:rPr>
                <w:color w:val="000000"/>
              </w:rPr>
              <w:t>EO 1.1 Support Microenterprises</w:t>
            </w:r>
          </w:p>
        </w:tc>
      </w:tr>
      <w:tr w:rsidRPr="00ED22E1" w:rsidR="00777D08" w14:paraId="45D0BA9F" w14:textId="77777777">
        <w:trPr>
          <w:cantSplit/>
        </w:trPr>
        <w:tc>
          <w:tcPr>
            <w:tcW w:w="0" w:type="auto"/>
            <w:vMerge/>
          </w:tcPr>
          <w:p w:rsidRPr="00E0005E" w:rsidR="00777D08" w:rsidRDefault="00777D08" w14:paraId="0CD0B2F7" w14:textId="77777777"/>
        </w:tc>
        <w:tc>
          <w:tcPr>
            <w:tcW w:w="0" w:type="auto"/>
          </w:tcPr>
          <w:p w:rsidRPr="00E0005E" w:rsidR="00777D08" w:rsidRDefault="00211F76" w14:paraId="3D6E7031" w14:textId="77777777">
            <w:pPr>
              <w:keepNext/>
              <w:spacing w:before="100" w:after="0"/>
              <w:rPr>
                <w:b/>
              </w:rPr>
            </w:pPr>
            <w:r w:rsidRPr="00E0005E">
              <w:rPr>
                <w:b/>
              </w:rPr>
              <w:t>Needs Addressed</w:t>
            </w:r>
          </w:p>
        </w:tc>
        <w:tc>
          <w:tcPr>
            <w:tcW w:w="0" w:type="auto"/>
          </w:tcPr>
          <w:p w:rsidRPr="00EF1A90" w:rsidR="00777D08" w:rsidRDefault="00211F76" w14:paraId="50D2E60F" w14:textId="77777777">
            <w:pPr>
              <w:spacing w:before="100" w:after="0"/>
            </w:pPr>
            <w:r w:rsidRPr="00EF1A90">
              <w:rPr>
                <w:color w:val="000000"/>
              </w:rPr>
              <w:t>AFH - Increase Employment/Economic Opportunities</w:t>
            </w:r>
          </w:p>
        </w:tc>
      </w:tr>
      <w:tr w:rsidRPr="00ED22E1" w:rsidR="00777D08" w14:paraId="3F57952F" w14:textId="77777777">
        <w:trPr>
          <w:cantSplit/>
        </w:trPr>
        <w:tc>
          <w:tcPr>
            <w:tcW w:w="0" w:type="auto"/>
            <w:vMerge/>
          </w:tcPr>
          <w:p w:rsidRPr="00E0005E" w:rsidR="00777D08" w:rsidRDefault="00777D08" w14:paraId="73943230" w14:textId="77777777"/>
        </w:tc>
        <w:tc>
          <w:tcPr>
            <w:tcW w:w="0" w:type="auto"/>
          </w:tcPr>
          <w:p w:rsidRPr="00E0005E" w:rsidR="00777D08" w:rsidRDefault="00211F76" w14:paraId="17563FC5" w14:textId="77777777">
            <w:pPr>
              <w:keepNext/>
              <w:spacing w:before="100" w:after="0"/>
              <w:rPr>
                <w:b/>
              </w:rPr>
            </w:pPr>
            <w:r w:rsidRPr="00E0005E">
              <w:rPr>
                <w:b/>
              </w:rPr>
              <w:t>Funding</w:t>
            </w:r>
          </w:p>
        </w:tc>
        <w:tc>
          <w:tcPr>
            <w:tcW w:w="0" w:type="auto"/>
          </w:tcPr>
          <w:p w:rsidRPr="00EF1A90" w:rsidR="00777D08" w:rsidRDefault="00DA56F8" w14:paraId="62D9246F" w14:textId="17B4E169">
            <w:pPr>
              <w:spacing w:before="100" w:after="0"/>
            </w:pPr>
            <w:r w:rsidRPr="00C7222F">
              <w:rPr>
                <w:color w:val="000000"/>
                <w:highlight w:val="yellow"/>
              </w:rPr>
              <w:t>CDBG</w:t>
            </w:r>
            <w:r w:rsidRPr="00C7222F">
              <w:rPr>
                <w:b/>
                <w:color w:val="000000"/>
                <w:highlight w:val="yellow"/>
              </w:rPr>
              <w:t>: $</w:t>
            </w:r>
            <w:r w:rsidR="00C7222F">
              <w:rPr>
                <w:b/>
                <w:color w:val="000000"/>
                <w:highlight w:val="yellow"/>
              </w:rPr>
              <w:t>20</w:t>
            </w:r>
            <w:r w:rsidR="00A4391D">
              <w:rPr>
                <w:b/>
                <w:color w:val="000000"/>
                <w:highlight w:val="yellow"/>
              </w:rPr>
              <w:t>4</w:t>
            </w:r>
            <w:bookmarkStart w:name="_GoBack" w:id="9"/>
            <w:bookmarkEnd w:id="9"/>
            <w:r w:rsidR="00C7222F">
              <w:rPr>
                <w:b/>
                <w:color w:val="000000"/>
                <w:highlight w:val="yellow"/>
              </w:rPr>
              <w:t>,000</w:t>
            </w:r>
          </w:p>
        </w:tc>
      </w:tr>
      <w:tr w:rsidRPr="00ED22E1" w:rsidR="00777D08" w14:paraId="582A44C9" w14:textId="77777777">
        <w:trPr>
          <w:cantSplit/>
        </w:trPr>
        <w:tc>
          <w:tcPr>
            <w:tcW w:w="0" w:type="auto"/>
            <w:vMerge/>
          </w:tcPr>
          <w:p w:rsidRPr="00ED22E1" w:rsidR="00777D08" w:rsidRDefault="00777D08" w14:paraId="1E030444" w14:textId="77777777">
            <w:pPr>
              <w:rPr>
                <w:highlight w:val="lightGray"/>
              </w:rPr>
            </w:pPr>
          </w:p>
        </w:tc>
        <w:tc>
          <w:tcPr>
            <w:tcW w:w="0" w:type="auto"/>
          </w:tcPr>
          <w:p w:rsidRPr="00E0005E" w:rsidR="00777D08" w:rsidRDefault="00211F76" w14:paraId="74C77686" w14:textId="77777777">
            <w:pPr>
              <w:keepNext/>
              <w:spacing w:before="100" w:after="0"/>
              <w:rPr>
                <w:b/>
              </w:rPr>
            </w:pPr>
            <w:r w:rsidRPr="00E0005E">
              <w:rPr>
                <w:b/>
              </w:rPr>
              <w:t>Description</w:t>
            </w:r>
          </w:p>
        </w:tc>
        <w:tc>
          <w:tcPr>
            <w:tcW w:w="0" w:type="auto"/>
          </w:tcPr>
          <w:p w:rsidRPr="00EF1A90" w:rsidR="00157EE4" w:rsidRDefault="00211F76" w14:paraId="142A20D0" w14:textId="77777777">
            <w:pPr>
              <w:spacing w:before="100" w:after="0"/>
              <w:rPr>
                <w:color w:val="000000"/>
              </w:rPr>
            </w:pPr>
            <w:r w:rsidRPr="00EF1A90">
              <w:rPr>
                <w:color w:val="000000"/>
              </w:rPr>
              <w:t>These Microenterprise Assistance Programs assist low and moderate income persons with starting, retaining and growing businesses with business and financial planning and provides workshop instruction and business planning models to LMI persons. Programs included in funding in 20</w:t>
            </w:r>
            <w:r w:rsidRPr="00EF1A90" w:rsidR="00B64654">
              <w:rPr>
                <w:color w:val="000000"/>
              </w:rPr>
              <w:t>2</w:t>
            </w:r>
            <w:r w:rsidRPr="00EF1A90" w:rsidR="00E0005E">
              <w:rPr>
                <w:color w:val="000000"/>
              </w:rPr>
              <w:t>1</w:t>
            </w:r>
            <w:r w:rsidRPr="00EF1A90">
              <w:rPr>
                <w:color w:val="000000"/>
              </w:rPr>
              <w:t xml:space="preserve"> include</w:t>
            </w:r>
            <w:r w:rsidRPr="00EF1A90" w:rsidR="00157EE4">
              <w:rPr>
                <w:color w:val="000000"/>
              </w:rPr>
              <w:t>:</w:t>
            </w:r>
          </w:p>
          <w:p w:rsidRPr="00EF1A90" w:rsidR="00157EE4" w:rsidRDefault="00157EE4" w14:paraId="4A5451C2" w14:textId="3895854A">
            <w:pPr>
              <w:spacing w:before="100" w:after="0"/>
              <w:rPr>
                <w:color w:val="000000"/>
              </w:rPr>
            </w:pPr>
            <w:r w:rsidRPr="00EF1A90">
              <w:rPr>
                <w:color w:val="000000"/>
              </w:rPr>
              <w:t>-</w:t>
            </w:r>
            <w:r w:rsidRPr="00EF1A90" w:rsidR="00211F76">
              <w:rPr>
                <w:color w:val="000000"/>
              </w:rPr>
              <w:t xml:space="preserve"> Financial Futures Micro Business Development Program</w:t>
            </w:r>
            <w:r w:rsidRPr="00EF1A90">
              <w:rPr>
                <w:color w:val="000000"/>
              </w:rPr>
              <w:t xml:space="preserve"> in the amount of $57,000</w:t>
            </w:r>
            <w:r w:rsidRPr="00EF1A90" w:rsidR="00B64654">
              <w:rPr>
                <w:color w:val="000000"/>
              </w:rPr>
              <w:t>,</w:t>
            </w:r>
            <w:r w:rsidRPr="00EF1A90">
              <w:rPr>
                <w:color w:val="000000"/>
              </w:rPr>
              <w:t xml:space="preserve"> implemented by Champlain Valley Office of Economic Opportunity (CVOEO)</w:t>
            </w:r>
          </w:p>
          <w:p w:rsidRPr="00EF1A90" w:rsidR="00777D08" w:rsidP="00157EE4" w:rsidRDefault="00157EE4" w14:paraId="685490A7" w14:textId="77777777">
            <w:pPr>
              <w:spacing w:before="100" w:after="0"/>
              <w:rPr>
                <w:color w:val="000000"/>
              </w:rPr>
            </w:pPr>
            <w:r w:rsidRPr="00EF1A90">
              <w:rPr>
                <w:color w:val="000000"/>
              </w:rPr>
              <w:t xml:space="preserve">- The </w:t>
            </w:r>
            <w:r w:rsidRPr="00EF1A90" w:rsidR="00B64654">
              <w:rPr>
                <w:color w:val="000000"/>
              </w:rPr>
              <w:t>Women’s Small Business Program</w:t>
            </w:r>
            <w:r w:rsidRPr="00EF1A90">
              <w:rPr>
                <w:color w:val="000000"/>
              </w:rPr>
              <w:t xml:space="preserve"> in the amount of $50,000, implemented by Mercy Connections</w:t>
            </w:r>
          </w:p>
          <w:p w:rsidRPr="00EF1A90" w:rsidR="00157EE4" w:rsidP="00157EE4" w:rsidRDefault="00157EE4" w14:paraId="231ADA02" w14:textId="14B6E0D9">
            <w:pPr>
              <w:spacing w:before="100" w:after="0"/>
              <w:rPr>
                <w:color w:val="000000"/>
              </w:rPr>
            </w:pPr>
            <w:r w:rsidRPr="00EF1A90">
              <w:rPr>
                <w:color w:val="000000"/>
              </w:rPr>
              <w:t>- The Micro Enterprise Technical Assistance Program in the amount of $</w:t>
            </w:r>
            <w:r w:rsidR="00A4391D">
              <w:rPr>
                <w:color w:val="000000"/>
                <w:highlight w:val="yellow"/>
              </w:rPr>
              <w:t>32,</w:t>
            </w:r>
            <w:r w:rsidRPr="00C7222F" w:rsidR="00C7222F">
              <w:rPr>
                <w:color w:val="000000"/>
                <w:highlight w:val="yellow"/>
              </w:rPr>
              <w:t>000</w:t>
            </w:r>
            <w:r w:rsidRPr="00EF1A90">
              <w:rPr>
                <w:color w:val="000000"/>
              </w:rPr>
              <w:t xml:space="preserve">, implemented by the </w:t>
            </w:r>
            <w:r w:rsidRPr="00A4391D">
              <w:rPr>
                <w:color w:val="000000"/>
              </w:rPr>
              <w:t>Community and Economic Development Office (CEDO).</w:t>
            </w:r>
            <w:r w:rsidRPr="00A4391D" w:rsidR="00294A23">
              <w:rPr>
                <w:color w:val="000000"/>
              </w:rPr>
              <w:t xml:space="preserve"> As well as $</w:t>
            </w:r>
            <w:r w:rsidRPr="00A4391D" w:rsidR="00C7222F">
              <w:rPr>
                <w:color w:val="000000"/>
              </w:rPr>
              <w:t>65</w:t>
            </w:r>
            <w:r w:rsidRPr="00A4391D" w:rsidR="00294A23">
              <w:rPr>
                <w:color w:val="000000"/>
              </w:rPr>
              <w:t>,000 in</w:t>
            </w:r>
            <w:r w:rsidRPr="00EF1A90" w:rsidR="00294A23">
              <w:rPr>
                <w:color w:val="000000"/>
              </w:rPr>
              <w:t xml:space="preserve"> grants to Micro Enterprises supported by the TA program.</w:t>
            </w:r>
          </w:p>
        </w:tc>
      </w:tr>
      <w:tr w:rsidRPr="00ED22E1" w:rsidR="00777D08" w14:paraId="414ADAAA" w14:textId="77777777">
        <w:trPr>
          <w:cantSplit/>
        </w:trPr>
        <w:tc>
          <w:tcPr>
            <w:tcW w:w="0" w:type="auto"/>
            <w:vMerge/>
          </w:tcPr>
          <w:p w:rsidRPr="00ED22E1" w:rsidR="00777D08" w:rsidRDefault="00777D08" w14:paraId="689DA67D" w14:textId="77777777">
            <w:pPr>
              <w:rPr>
                <w:highlight w:val="lightGray"/>
              </w:rPr>
            </w:pPr>
          </w:p>
        </w:tc>
        <w:tc>
          <w:tcPr>
            <w:tcW w:w="0" w:type="auto"/>
          </w:tcPr>
          <w:p w:rsidRPr="00E0005E" w:rsidR="00777D08" w:rsidRDefault="00211F76" w14:paraId="0308F097" w14:textId="77777777">
            <w:pPr>
              <w:keepNext/>
              <w:spacing w:before="100" w:after="0"/>
              <w:rPr>
                <w:b/>
              </w:rPr>
            </w:pPr>
            <w:r w:rsidRPr="00E0005E">
              <w:rPr>
                <w:b/>
              </w:rPr>
              <w:t>Target Date</w:t>
            </w:r>
          </w:p>
        </w:tc>
        <w:tc>
          <w:tcPr>
            <w:tcW w:w="0" w:type="auto"/>
          </w:tcPr>
          <w:p w:rsidRPr="00E0005E" w:rsidR="00777D08" w:rsidRDefault="00211F76" w14:paraId="090288E8" w14:textId="46B52234">
            <w:pPr>
              <w:spacing w:before="100" w:after="0"/>
            </w:pPr>
            <w:r w:rsidRPr="00E0005E">
              <w:rPr>
                <w:color w:val="000000"/>
              </w:rPr>
              <w:t>6/30/202</w:t>
            </w:r>
            <w:r w:rsidRPr="00E0005E" w:rsidR="00E0005E">
              <w:rPr>
                <w:color w:val="000000"/>
              </w:rPr>
              <w:t>2</w:t>
            </w:r>
          </w:p>
        </w:tc>
      </w:tr>
      <w:tr w:rsidRPr="00ED22E1" w:rsidR="00777D08" w14:paraId="09835B68" w14:textId="77777777">
        <w:trPr>
          <w:cantSplit/>
        </w:trPr>
        <w:tc>
          <w:tcPr>
            <w:tcW w:w="0" w:type="auto"/>
            <w:vMerge/>
          </w:tcPr>
          <w:p w:rsidRPr="00ED22E1" w:rsidR="00777D08" w:rsidRDefault="00777D08" w14:paraId="6FB386EF" w14:textId="77777777">
            <w:pPr>
              <w:rPr>
                <w:highlight w:val="lightGray"/>
              </w:rPr>
            </w:pPr>
          </w:p>
        </w:tc>
        <w:tc>
          <w:tcPr>
            <w:tcW w:w="0" w:type="auto"/>
          </w:tcPr>
          <w:p w:rsidRPr="00ED22E1" w:rsidR="00777D08" w:rsidRDefault="00211F76" w14:paraId="554C71EA" w14:textId="77777777">
            <w:pPr>
              <w:keepNext/>
              <w:spacing w:before="100" w:after="0"/>
              <w:rPr>
                <w:rFonts w:asciiTheme="minorHAnsi" w:hAnsiTheme="minorHAnsi"/>
                <w:b/>
                <w:highlight w:val="lightGray"/>
              </w:rPr>
            </w:pPr>
            <w:r w:rsidRPr="00E0005E">
              <w:rPr>
                <w:rStyle w:val="Strong"/>
                <w:rFonts w:asciiTheme="minorHAnsi" w:hAnsiTheme="minorHAnsi"/>
              </w:rPr>
              <w:t>Estimate the number and type of families that will benefit from the proposed activities</w:t>
            </w:r>
          </w:p>
        </w:tc>
        <w:tc>
          <w:tcPr>
            <w:tcW w:w="0" w:type="auto"/>
          </w:tcPr>
          <w:p w:rsidRPr="00E0005E" w:rsidR="00777D08" w:rsidRDefault="00211F76" w14:paraId="2753CA9B" w14:textId="1394DBED">
            <w:pPr>
              <w:spacing w:before="100" w:after="0"/>
            </w:pPr>
            <w:r w:rsidRPr="00E0005E">
              <w:rPr>
                <w:color w:val="000000"/>
              </w:rPr>
              <w:t>CVOEO Financial Futures Mi</w:t>
            </w:r>
            <w:r w:rsidRPr="00E0005E" w:rsidR="00B64654">
              <w:rPr>
                <w:color w:val="000000"/>
              </w:rPr>
              <w:t>cr</w:t>
            </w:r>
            <w:r w:rsidRPr="00E0005E">
              <w:rPr>
                <w:color w:val="000000"/>
              </w:rPr>
              <w:t>o Business D</w:t>
            </w:r>
            <w:r w:rsidRPr="00E0005E" w:rsidR="00B64654">
              <w:rPr>
                <w:color w:val="000000"/>
              </w:rPr>
              <w:t>e</w:t>
            </w:r>
            <w:r w:rsidRPr="00E0005E">
              <w:rPr>
                <w:color w:val="000000"/>
              </w:rPr>
              <w:t xml:space="preserve">velopment Program will serve </w:t>
            </w:r>
            <w:r w:rsidRPr="00E0005E" w:rsidR="00F77140">
              <w:rPr>
                <w:color w:val="000000"/>
              </w:rPr>
              <w:t>80</w:t>
            </w:r>
            <w:r w:rsidRPr="00E0005E" w:rsidR="00B64654">
              <w:rPr>
                <w:color w:val="000000"/>
              </w:rPr>
              <w:t xml:space="preserve"> </w:t>
            </w:r>
            <w:r w:rsidRPr="00E0005E">
              <w:rPr>
                <w:color w:val="000000"/>
              </w:rPr>
              <w:t>LMI clients.</w:t>
            </w:r>
          </w:p>
          <w:p w:rsidRPr="00E0005E" w:rsidR="00DA56F8" w:rsidP="00E0005E" w:rsidRDefault="00B64654" w14:paraId="26487724" w14:textId="698AE96E">
            <w:pPr>
              <w:spacing w:before="100" w:after="0"/>
              <w:rPr>
                <w:color w:val="000000"/>
              </w:rPr>
            </w:pPr>
            <w:r w:rsidRPr="00E0005E">
              <w:rPr>
                <w:color w:val="000000"/>
              </w:rPr>
              <w:t xml:space="preserve">Mercy Connection’s Women’s Small Business Program will serve </w:t>
            </w:r>
            <w:r w:rsidRPr="00E0005E" w:rsidR="00E0005E">
              <w:rPr>
                <w:color w:val="000000"/>
              </w:rPr>
              <w:t>6</w:t>
            </w:r>
            <w:r w:rsidRPr="00E0005E" w:rsidR="006C3485">
              <w:rPr>
                <w:color w:val="000000"/>
              </w:rPr>
              <w:t>3</w:t>
            </w:r>
            <w:r w:rsidRPr="00E0005E">
              <w:rPr>
                <w:color w:val="000000"/>
              </w:rPr>
              <w:t xml:space="preserve"> LMI clients.</w:t>
            </w:r>
          </w:p>
          <w:p w:rsidR="00DA56F8" w:rsidRDefault="00DA56F8" w14:paraId="49921551" w14:textId="77777777">
            <w:pPr>
              <w:spacing w:before="100" w:after="0"/>
              <w:rPr>
                <w:highlight w:val="lightGray"/>
              </w:rPr>
            </w:pPr>
          </w:p>
          <w:p w:rsidRPr="00ED22E1" w:rsidR="00DA56F8" w:rsidRDefault="00DA56F8" w14:paraId="4FC31181" w14:textId="6F9937A2">
            <w:pPr>
              <w:spacing w:before="100" w:after="0"/>
              <w:rPr>
                <w:highlight w:val="lightGray"/>
              </w:rPr>
            </w:pPr>
          </w:p>
        </w:tc>
      </w:tr>
      <w:tr w:rsidRPr="00ED22E1" w:rsidR="00777D08" w14:paraId="54743B2D" w14:textId="77777777">
        <w:trPr>
          <w:cantSplit/>
        </w:trPr>
        <w:tc>
          <w:tcPr>
            <w:tcW w:w="0" w:type="auto"/>
            <w:vMerge/>
          </w:tcPr>
          <w:p w:rsidRPr="00ED22E1" w:rsidR="00777D08" w:rsidRDefault="00777D08" w14:paraId="0F565A95" w14:textId="77777777">
            <w:pPr>
              <w:rPr>
                <w:highlight w:val="lightGray"/>
              </w:rPr>
            </w:pPr>
          </w:p>
        </w:tc>
        <w:tc>
          <w:tcPr>
            <w:tcW w:w="0" w:type="auto"/>
          </w:tcPr>
          <w:p w:rsidRPr="00E0005E" w:rsidR="00777D08" w:rsidRDefault="00211F76" w14:paraId="7EDDC9A3" w14:textId="77777777">
            <w:pPr>
              <w:keepNext/>
              <w:spacing w:before="100" w:after="0"/>
              <w:rPr>
                <w:rFonts w:asciiTheme="minorHAnsi" w:hAnsiTheme="minorHAnsi"/>
                <w:b/>
              </w:rPr>
            </w:pPr>
            <w:r w:rsidRPr="00E0005E">
              <w:rPr>
                <w:rStyle w:val="Strong"/>
                <w:rFonts w:asciiTheme="minorHAnsi" w:hAnsiTheme="minorHAnsi"/>
              </w:rPr>
              <w:t>Location Description</w:t>
            </w:r>
          </w:p>
        </w:tc>
        <w:tc>
          <w:tcPr>
            <w:tcW w:w="0" w:type="auto"/>
          </w:tcPr>
          <w:p w:rsidRPr="00E0005E" w:rsidR="00777D08" w:rsidRDefault="00211F76" w14:paraId="1D8D654F" w14:textId="77777777">
            <w:pPr>
              <w:spacing w:before="100" w:after="0"/>
            </w:pPr>
            <w:r w:rsidRPr="00E0005E">
              <w:rPr>
                <w:color w:val="000000"/>
              </w:rPr>
              <w:t>Services will be provided to persons City-Wide with a focus on businesses located in the NRSA. </w:t>
            </w:r>
          </w:p>
        </w:tc>
      </w:tr>
      <w:tr w:rsidRPr="00ED22E1" w:rsidR="00777D08" w14:paraId="0B27B971" w14:textId="77777777">
        <w:trPr>
          <w:cantSplit/>
        </w:trPr>
        <w:tc>
          <w:tcPr>
            <w:tcW w:w="0" w:type="auto"/>
            <w:vMerge/>
          </w:tcPr>
          <w:p w:rsidRPr="00ED22E1" w:rsidR="00777D08" w:rsidRDefault="00777D08" w14:paraId="0A0EFF06" w14:textId="77777777">
            <w:pPr>
              <w:rPr>
                <w:highlight w:val="lightGray"/>
              </w:rPr>
            </w:pPr>
          </w:p>
        </w:tc>
        <w:tc>
          <w:tcPr>
            <w:tcW w:w="0" w:type="auto"/>
          </w:tcPr>
          <w:p w:rsidRPr="00E0005E" w:rsidR="00777D08" w:rsidRDefault="00211F76" w14:paraId="7C5A3C34" w14:textId="77777777">
            <w:pPr>
              <w:keepNext/>
              <w:spacing w:before="100" w:after="0"/>
              <w:rPr>
                <w:rFonts w:asciiTheme="minorHAnsi" w:hAnsiTheme="minorHAnsi"/>
                <w:b/>
              </w:rPr>
            </w:pPr>
            <w:r w:rsidRPr="00E0005E">
              <w:rPr>
                <w:rStyle w:val="Strong"/>
                <w:rFonts w:asciiTheme="minorHAnsi" w:hAnsiTheme="minorHAnsi"/>
              </w:rPr>
              <w:t>Planned Activities</w:t>
            </w:r>
          </w:p>
        </w:tc>
        <w:tc>
          <w:tcPr>
            <w:tcW w:w="0" w:type="auto"/>
          </w:tcPr>
          <w:p w:rsidRPr="00E0005E" w:rsidR="00777D08" w:rsidRDefault="00E0005E" w14:paraId="2CC48B7B" w14:textId="42F08093">
            <w:pPr>
              <w:spacing w:before="100" w:after="0"/>
            </w:pPr>
            <w:r w:rsidRPr="00E0005E">
              <w:rPr>
                <w:color w:val="000000"/>
              </w:rPr>
              <w:t>Both</w:t>
            </w:r>
            <w:r w:rsidRPr="00E0005E" w:rsidR="00211F76">
              <w:rPr>
                <w:color w:val="000000"/>
              </w:rPr>
              <w:t xml:space="preserve"> programs will provide technical assistance, classes, and individual direction to small businesses or start-ups. </w:t>
            </w:r>
          </w:p>
        </w:tc>
      </w:tr>
      <w:tr w:rsidRPr="00ED22E1" w:rsidR="00777D08" w14:paraId="22B6F3BA" w14:textId="77777777">
        <w:trPr>
          <w:cantSplit/>
        </w:trPr>
        <w:tc>
          <w:tcPr>
            <w:tcW w:w="0" w:type="auto"/>
            <w:vMerge w:val="restart"/>
          </w:tcPr>
          <w:p w:rsidRPr="00E80F2D" w:rsidR="00777D08" w:rsidRDefault="00AF5F64" w14:paraId="0E01C9AB" w14:textId="38F1AA1B">
            <w:r w:rsidRPr="00E80F2D">
              <w:rPr>
                <w:b/>
              </w:rPr>
              <w:t>4</w:t>
            </w:r>
          </w:p>
        </w:tc>
        <w:tc>
          <w:tcPr>
            <w:tcW w:w="0" w:type="auto"/>
          </w:tcPr>
          <w:p w:rsidRPr="00E80F2D" w:rsidR="00777D08" w:rsidRDefault="00211F76" w14:paraId="75A25FA3" w14:textId="77777777">
            <w:pPr>
              <w:keepNext/>
              <w:spacing w:before="100" w:after="0"/>
              <w:rPr>
                <w:b/>
              </w:rPr>
            </w:pPr>
            <w:r w:rsidRPr="00E80F2D">
              <w:rPr>
                <w:b/>
              </w:rPr>
              <w:t>Project Name</w:t>
            </w:r>
          </w:p>
        </w:tc>
        <w:tc>
          <w:tcPr>
            <w:tcW w:w="0" w:type="auto"/>
          </w:tcPr>
          <w:p w:rsidRPr="00E80F2D" w:rsidR="00777D08" w:rsidRDefault="00211F76" w14:paraId="713BEB18" w14:textId="77777777">
            <w:pPr>
              <w:spacing w:before="100" w:after="0"/>
            </w:pPr>
            <w:r w:rsidRPr="00E80F2D">
              <w:rPr>
                <w:color w:val="000000"/>
              </w:rPr>
              <w:t>Burlington's Sustainable Economic Development Program</w:t>
            </w:r>
          </w:p>
        </w:tc>
      </w:tr>
      <w:tr w:rsidRPr="00ED22E1" w:rsidR="00777D08" w14:paraId="3911DDE9" w14:textId="77777777">
        <w:trPr>
          <w:cantSplit/>
        </w:trPr>
        <w:tc>
          <w:tcPr>
            <w:tcW w:w="0" w:type="auto"/>
            <w:vMerge/>
          </w:tcPr>
          <w:p w:rsidRPr="00E80F2D" w:rsidR="00777D08" w:rsidRDefault="00777D08" w14:paraId="5FB0F1B9" w14:textId="77777777"/>
        </w:tc>
        <w:tc>
          <w:tcPr>
            <w:tcW w:w="0" w:type="auto"/>
          </w:tcPr>
          <w:p w:rsidRPr="00E80F2D" w:rsidR="00777D08" w:rsidRDefault="00211F76" w14:paraId="2236272B" w14:textId="77777777">
            <w:pPr>
              <w:keepNext/>
              <w:spacing w:before="100" w:after="0"/>
              <w:rPr>
                <w:b/>
              </w:rPr>
            </w:pPr>
            <w:r w:rsidRPr="00E80F2D">
              <w:rPr>
                <w:b/>
              </w:rPr>
              <w:t>Target Area</w:t>
            </w:r>
          </w:p>
        </w:tc>
        <w:tc>
          <w:tcPr>
            <w:tcW w:w="0" w:type="auto"/>
          </w:tcPr>
          <w:p w:rsidRPr="00E80F2D" w:rsidR="00777D08" w:rsidRDefault="00211F76" w14:paraId="128951C0" w14:textId="77777777">
            <w:pPr>
              <w:spacing w:before="100" w:after="0"/>
            </w:pPr>
            <w:r w:rsidRPr="00E80F2D">
              <w:rPr>
                <w:color w:val="000000"/>
              </w:rPr>
              <w:t>City-Wide</w:t>
            </w:r>
          </w:p>
        </w:tc>
      </w:tr>
      <w:tr w:rsidRPr="00ED22E1" w:rsidR="00777D08" w14:paraId="601AF7E8" w14:textId="77777777">
        <w:trPr>
          <w:cantSplit/>
        </w:trPr>
        <w:tc>
          <w:tcPr>
            <w:tcW w:w="0" w:type="auto"/>
            <w:vMerge/>
          </w:tcPr>
          <w:p w:rsidRPr="00E80F2D" w:rsidR="00777D08" w:rsidRDefault="00777D08" w14:paraId="7D7AFF18" w14:textId="77777777"/>
        </w:tc>
        <w:tc>
          <w:tcPr>
            <w:tcW w:w="0" w:type="auto"/>
          </w:tcPr>
          <w:p w:rsidRPr="00E80F2D" w:rsidR="00777D08" w:rsidRDefault="00211F76" w14:paraId="7299388C" w14:textId="77777777">
            <w:pPr>
              <w:keepNext/>
              <w:spacing w:before="100" w:after="0"/>
              <w:rPr>
                <w:b/>
              </w:rPr>
            </w:pPr>
            <w:r w:rsidRPr="00E80F2D">
              <w:rPr>
                <w:b/>
              </w:rPr>
              <w:t>Goals Supported</w:t>
            </w:r>
          </w:p>
        </w:tc>
        <w:tc>
          <w:tcPr>
            <w:tcW w:w="0" w:type="auto"/>
          </w:tcPr>
          <w:p w:rsidRPr="00E80F2D" w:rsidR="00777D08" w:rsidRDefault="00211F76" w14:paraId="7B1B445F" w14:textId="77777777">
            <w:pPr>
              <w:spacing w:before="100" w:after="0"/>
            </w:pPr>
            <w:r w:rsidRPr="00E80F2D">
              <w:rPr>
                <w:color w:val="000000"/>
              </w:rPr>
              <w:t>EO 1.2 Retain/Create Jobs</w:t>
            </w:r>
          </w:p>
        </w:tc>
      </w:tr>
      <w:tr w:rsidRPr="00ED22E1" w:rsidR="00777D08" w14:paraId="072988BB" w14:textId="77777777">
        <w:trPr>
          <w:cantSplit/>
        </w:trPr>
        <w:tc>
          <w:tcPr>
            <w:tcW w:w="0" w:type="auto"/>
            <w:vMerge/>
          </w:tcPr>
          <w:p w:rsidRPr="00E80F2D" w:rsidR="00777D08" w:rsidRDefault="00777D08" w14:paraId="05A561D1" w14:textId="77777777"/>
        </w:tc>
        <w:tc>
          <w:tcPr>
            <w:tcW w:w="0" w:type="auto"/>
          </w:tcPr>
          <w:p w:rsidRPr="00E80F2D" w:rsidR="00777D08" w:rsidRDefault="00211F76" w14:paraId="34A63CEF" w14:textId="77777777">
            <w:pPr>
              <w:keepNext/>
              <w:spacing w:before="100" w:after="0"/>
              <w:rPr>
                <w:b/>
              </w:rPr>
            </w:pPr>
            <w:r w:rsidRPr="00E80F2D">
              <w:rPr>
                <w:b/>
              </w:rPr>
              <w:t>Needs Addressed</w:t>
            </w:r>
          </w:p>
        </w:tc>
        <w:tc>
          <w:tcPr>
            <w:tcW w:w="0" w:type="auto"/>
          </w:tcPr>
          <w:p w:rsidRPr="00E80F2D" w:rsidR="00777D08" w:rsidRDefault="00211F76" w14:paraId="687C6487" w14:textId="77777777">
            <w:pPr>
              <w:spacing w:before="100" w:after="0"/>
            </w:pPr>
            <w:r w:rsidRPr="00E80F2D">
              <w:rPr>
                <w:color w:val="000000"/>
              </w:rPr>
              <w:t>AFH - Increase Employment/Economic Opportunities</w:t>
            </w:r>
          </w:p>
        </w:tc>
      </w:tr>
      <w:tr w:rsidRPr="00ED22E1" w:rsidR="00777D08" w14:paraId="609B6907" w14:textId="77777777">
        <w:trPr>
          <w:cantSplit/>
        </w:trPr>
        <w:tc>
          <w:tcPr>
            <w:tcW w:w="0" w:type="auto"/>
            <w:vMerge/>
          </w:tcPr>
          <w:p w:rsidRPr="00E80F2D" w:rsidR="00777D08" w:rsidRDefault="00777D08" w14:paraId="5F6F20CF" w14:textId="77777777"/>
        </w:tc>
        <w:tc>
          <w:tcPr>
            <w:tcW w:w="0" w:type="auto"/>
          </w:tcPr>
          <w:p w:rsidRPr="00E80F2D" w:rsidR="00777D08" w:rsidRDefault="00211F76" w14:paraId="454A8BDA" w14:textId="77777777">
            <w:pPr>
              <w:keepNext/>
              <w:spacing w:before="100" w:after="0"/>
              <w:rPr>
                <w:b/>
              </w:rPr>
            </w:pPr>
            <w:r w:rsidRPr="00E80F2D">
              <w:rPr>
                <w:b/>
              </w:rPr>
              <w:t>Funding</w:t>
            </w:r>
          </w:p>
        </w:tc>
        <w:tc>
          <w:tcPr>
            <w:tcW w:w="0" w:type="auto"/>
          </w:tcPr>
          <w:p w:rsidRPr="00E80F2D" w:rsidR="00777D08" w:rsidRDefault="008117DB" w14:paraId="57E3FE30" w14:textId="6AF7D60A">
            <w:pPr>
              <w:spacing w:before="100" w:after="0"/>
            </w:pPr>
            <w:r w:rsidRPr="00E80F2D">
              <w:rPr>
                <w:color w:val="000000"/>
              </w:rPr>
              <w:t xml:space="preserve"> CDBG</w:t>
            </w:r>
            <w:r w:rsidRPr="00E80F2D" w:rsidR="001A3203">
              <w:rPr>
                <w:color w:val="000000"/>
              </w:rPr>
              <w:t>: $0</w:t>
            </w:r>
          </w:p>
        </w:tc>
      </w:tr>
      <w:tr w:rsidRPr="00ED22E1" w:rsidR="00777D08" w14:paraId="265FEAB6" w14:textId="77777777">
        <w:trPr>
          <w:cantSplit/>
        </w:trPr>
        <w:tc>
          <w:tcPr>
            <w:tcW w:w="0" w:type="auto"/>
            <w:vMerge/>
          </w:tcPr>
          <w:p w:rsidRPr="00E80F2D" w:rsidR="00777D08" w:rsidRDefault="00777D08" w14:paraId="45191978" w14:textId="77777777"/>
        </w:tc>
        <w:tc>
          <w:tcPr>
            <w:tcW w:w="0" w:type="auto"/>
          </w:tcPr>
          <w:p w:rsidRPr="00E80F2D" w:rsidR="00777D08" w:rsidRDefault="00211F76" w14:paraId="6EF2E7F5" w14:textId="77777777">
            <w:pPr>
              <w:keepNext/>
              <w:spacing w:before="100" w:after="0"/>
              <w:rPr>
                <w:b/>
              </w:rPr>
            </w:pPr>
            <w:r w:rsidRPr="00E80F2D">
              <w:rPr>
                <w:b/>
              </w:rPr>
              <w:t>Description</w:t>
            </w:r>
          </w:p>
        </w:tc>
        <w:tc>
          <w:tcPr>
            <w:tcW w:w="0" w:type="auto"/>
          </w:tcPr>
          <w:p w:rsidRPr="00E80F2D" w:rsidR="00777D08" w:rsidRDefault="00211F76" w14:paraId="77B99A43" w14:textId="77777777">
            <w:pPr>
              <w:spacing w:before="100" w:after="0"/>
            </w:pPr>
            <w:r w:rsidRPr="00E80F2D">
              <w:rPr>
                <w:color w:val="000000"/>
              </w:rPr>
              <w:t>To provide loans and technical assistance for area businesses for job creation/retention and business expansion.</w:t>
            </w:r>
          </w:p>
        </w:tc>
      </w:tr>
      <w:tr w:rsidRPr="00ED22E1" w:rsidR="00777D08" w14:paraId="4BF17FA2" w14:textId="77777777">
        <w:trPr>
          <w:cantSplit/>
        </w:trPr>
        <w:tc>
          <w:tcPr>
            <w:tcW w:w="0" w:type="auto"/>
            <w:vMerge/>
          </w:tcPr>
          <w:p w:rsidRPr="00E80F2D" w:rsidR="00777D08" w:rsidRDefault="00777D08" w14:paraId="48BC1106" w14:textId="77777777"/>
        </w:tc>
        <w:tc>
          <w:tcPr>
            <w:tcW w:w="0" w:type="auto"/>
          </w:tcPr>
          <w:p w:rsidRPr="00E80F2D" w:rsidR="00777D08" w:rsidRDefault="00211F76" w14:paraId="71E5E2E7" w14:textId="77777777">
            <w:pPr>
              <w:keepNext/>
              <w:spacing w:before="100" w:after="0"/>
              <w:rPr>
                <w:b/>
              </w:rPr>
            </w:pPr>
            <w:r w:rsidRPr="00E80F2D">
              <w:rPr>
                <w:b/>
              </w:rPr>
              <w:t>Target Date</w:t>
            </w:r>
          </w:p>
        </w:tc>
        <w:tc>
          <w:tcPr>
            <w:tcW w:w="0" w:type="auto"/>
          </w:tcPr>
          <w:p w:rsidRPr="00E80F2D" w:rsidR="00777D08" w:rsidRDefault="00211F76" w14:paraId="1B3E9BF3" w14:textId="50E9BD55">
            <w:pPr>
              <w:spacing w:before="100" w:after="0"/>
            </w:pPr>
            <w:r w:rsidRPr="00E80F2D">
              <w:rPr>
                <w:color w:val="000000"/>
              </w:rPr>
              <w:t>6/30/202</w:t>
            </w:r>
            <w:r w:rsidRPr="00E80F2D" w:rsidR="00E80F2D">
              <w:rPr>
                <w:color w:val="000000"/>
              </w:rPr>
              <w:t>2</w:t>
            </w:r>
          </w:p>
        </w:tc>
      </w:tr>
      <w:tr w:rsidRPr="00ED22E1" w:rsidR="00777D08" w14:paraId="5A23C040" w14:textId="77777777">
        <w:trPr>
          <w:cantSplit/>
        </w:trPr>
        <w:tc>
          <w:tcPr>
            <w:tcW w:w="0" w:type="auto"/>
            <w:vMerge/>
          </w:tcPr>
          <w:p w:rsidRPr="00ED22E1" w:rsidR="00777D08" w:rsidRDefault="00777D08" w14:paraId="0ABA5933" w14:textId="77777777">
            <w:pPr>
              <w:rPr>
                <w:highlight w:val="lightGray"/>
              </w:rPr>
            </w:pPr>
          </w:p>
        </w:tc>
        <w:tc>
          <w:tcPr>
            <w:tcW w:w="0" w:type="auto"/>
          </w:tcPr>
          <w:p w:rsidRPr="00ED22E1" w:rsidR="00777D08" w:rsidRDefault="00211F76" w14:paraId="29FCA9DC" w14:textId="77777777">
            <w:pPr>
              <w:keepNext/>
              <w:spacing w:before="100" w:after="0"/>
              <w:rPr>
                <w:rFonts w:asciiTheme="minorHAnsi" w:hAnsiTheme="minorHAnsi"/>
                <w:b/>
                <w:highlight w:val="lightGray"/>
              </w:rPr>
            </w:pPr>
            <w:r w:rsidRPr="00E80F2D">
              <w:rPr>
                <w:rStyle w:val="Strong"/>
                <w:rFonts w:asciiTheme="minorHAnsi" w:hAnsiTheme="minorHAnsi"/>
              </w:rPr>
              <w:t>Estimate the number and type of families that will benefit from the proposed activities</w:t>
            </w:r>
          </w:p>
        </w:tc>
        <w:tc>
          <w:tcPr>
            <w:tcW w:w="0" w:type="auto"/>
          </w:tcPr>
          <w:p w:rsidRPr="00ED22E1" w:rsidR="00777D08" w:rsidRDefault="00E80F2D" w14:paraId="5D0D1677" w14:textId="66D98FAA">
            <w:pPr>
              <w:spacing w:before="100" w:after="0"/>
              <w:rPr>
                <w:highlight w:val="lightGray"/>
              </w:rPr>
            </w:pPr>
            <w:r w:rsidRPr="00AE3CEE">
              <w:rPr>
                <w:color w:val="000000"/>
              </w:rPr>
              <w:t xml:space="preserve">Although no CDBG funds will be allocated, CEDO's Sustainable Economic Development program will deliver revolving loans and technical assistance to larger businesses who will retain or create </w:t>
            </w:r>
            <w:r>
              <w:rPr>
                <w:color w:val="000000"/>
              </w:rPr>
              <w:t>2 jobs.</w:t>
            </w:r>
          </w:p>
        </w:tc>
      </w:tr>
      <w:tr w:rsidRPr="00ED22E1" w:rsidR="00777D08" w14:paraId="0E2E36DC" w14:textId="77777777">
        <w:trPr>
          <w:cantSplit/>
        </w:trPr>
        <w:tc>
          <w:tcPr>
            <w:tcW w:w="0" w:type="auto"/>
            <w:vMerge/>
          </w:tcPr>
          <w:p w:rsidRPr="00ED22E1" w:rsidR="00777D08" w:rsidRDefault="00777D08" w14:paraId="28933C1B" w14:textId="77777777">
            <w:pPr>
              <w:rPr>
                <w:highlight w:val="lightGray"/>
              </w:rPr>
            </w:pPr>
          </w:p>
        </w:tc>
        <w:tc>
          <w:tcPr>
            <w:tcW w:w="0" w:type="auto"/>
          </w:tcPr>
          <w:p w:rsidRPr="00E80F2D" w:rsidR="00777D08" w:rsidRDefault="00211F76" w14:paraId="33759E04" w14:textId="77777777">
            <w:pPr>
              <w:keepNext/>
              <w:spacing w:before="100" w:after="0"/>
              <w:rPr>
                <w:rFonts w:asciiTheme="minorHAnsi" w:hAnsiTheme="minorHAnsi"/>
                <w:b/>
              </w:rPr>
            </w:pPr>
            <w:r w:rsidRPr="00E80F2D">
              <w:rPr>
                <w:rStyle w:val="Strong"/>
                <w:rFonts w:asciiTheme="minorHAnsi" w:hAnsiTheme="minorHAnsi"/>
              </w:rPr>
              <w:t>Location Description</w:t>
            </w:r>
          </w:p>
        </w:tc>
        <w:tc>
          <w:tcPr>
            <w:tcW w:w="0" w:type="auto"/>
          </w:tcPr>
          <w:p w:rsidRPr="00E80F2D" w:rsidR="00777D08" w:rsidRDefault="00211F76" w14:paraId="423BE0DC" w14:textId="77777777">
            <w:pPr>
              <w:spacing w:before="100" w:after="0"/>
            </w:pPr>
            <w:r w:rsidRPr="00E80F2D">
              <w:rPr>
                <w:color w:val="000000"/>
              </w:rPr>
              <w:t>City-Wide</w:t>
            </w:r>
          </w:p>
        </w:tc>
      </w:tr>
      <w:tr w:rsidRPr="00ED22E1" w:rsidR="00777D08" w14:paraId="6EA998FC" w14:textId="77777777">
        <w:trPr>
          <w:cantSplit/>
        </w:trPr>
        <w:tc>
          <w:tcPr>
            <w:tcW w:w="0" w:type="auto"/>
            <w:vMerge/>
          </w:tcPr>
          <w:p w:rsidRPr="00ED22E1" w:rsidR="00777D08" w:rsidRDefault="00777D08" w14:paraId="1DFB4EB8" w14:textId="77777777">
            <w:pPr>
              <w:rPr>
                <w:highlight w:val="lightGray"/>
              </w:rPr>
            </w:pPr>
          </w:p>
        </w:tc>
        <w:tc>
          <w:tcPr>
            <w:tcW w:w="0" w:type="auto"/>
          </w:tcPr>
          <w:p w:rsidRPr="00E80F2D" w:rsidR="00777D08" w:rsidRDefault="00211F76" w14:paraId="4D07B68B" w14:textId="77777777">
            <w:pPr>
              <w:keepNext/>
              <w:spacing w:before="100" w:after="0"/>
              <w:rPr>
                <w:rFonts w:asciiTheme="minorHAnsi" w:hAnsiTheme="minorHAnsi"/>
                <w:b/>
              </w:rPr>
            </w:pPr>
            <w:r w:rsidRPr="00E80F2D">
              <w:rPr>
                <w:rStyle w:val="Strong"/>
                <w:rFonts w:asciiTheme="minorHAnsi" w:hAnsiTheme="minorHAnsi"/>
              </w:rPr>
              <w:t>Planned Activities</w:t>
            </w:r>
          </w:p>
        </w:tc>
        <w:tc>
          <w:tcPr>
            <w:tcW w:w="0" w:type="auto"/>
          </w:tcPr>
          <w:p w:rsidRPr="00E80F2D" w:rsidR="00777D08" w:rsidRDefault="00211F76" w14:paraId="3BF2DA33" w14:textId="77777777">
            <w:pPr>
              <w:spacing w:before="100" w:after="0"/>
            </w:pPr>
            <w:r w:rsidRPr="00E80F2D">
              <w:rPr>
                <w:color w:val="000000"/>
              </w:rPr>
              <w:t>Provide technical assistance and/or business loans for job creation/retention for Burlington businesses. </w:t>
            </w:r>
          </w:p>
        </w:tc>
      </w:tr>
      <w:tr w:rsidRPr="00ED22E1" w:rsidR="00777D08" w14:paraId="121C55F8" w14:textId="77777777">
        <w:trPr>
          <w:cantSplit/>
        </w:trPr>
        <w:tc>
          <w:tcPr>
            <w:tcW w:w="0" w:type="auto"/>
            <w:vMerge w:val="restart"/>
          </w:tcPr>
          <w:p w:rsidRPr="00ED22E1" w:rsidR="00777D08" w:rsidRDefault="00AF5F64" w14:paraId="7B5F002B" w14:textId="3F4D8537">
            <w:pPr>
              <w:rPr>
                <w:highlight w:val="lightGray"/>
              </w:rPr>
            </w:pPr>
            <w:r w:rsidRPr="001D0567">
              <w:rPr>
                <w:b/>
              </w:rPr>
              <w:t>5</w:t>
            </w:r>
          </w:p>
        </w:tc>
        <w:tc>
          <w:tcPr>
            <w:tcW w:w="0" w:type="auto"/>
          </w:tcPr>
          <w:p w:rsidR="001D0567" w:rsidRDefault="001D0567" w14:paraId="1A2DBD4D" w14:textId="77777777">
            <w:pPr>
              <w:keepNext/>
              <w:spacing w:before="100" w:after="0"/>
              <w:rPr>
                <w:b/>
              </w:rPr>
            </w:pPr>
          </w:p>
          <w:p w:rsidRPr="00E80F2D" w:rsidR="00777D08" w:rsidRDefault="00211F76" w14:paraId="06965EF2" w14:textId="591BCA53">
            <w:pPr>
              <w:keepNext/>
              <w:spacing w:before="100" w:after="0"/>
              <w:rPr>
                <w:b/>
              </w:rPr>
            </w:pPr>
            <w:r w:rsidRPr="00E80F2D">
              <w:rPr>
                <w:b/>
              </w:rPr>
              <w:t>Project Name</w:t>
            </w:r>
          </w:p>
        </w:tc>
        <w:tc>
          <w:tcPr>
            <w:tcW w:w="0" w:type="auto"/>
          </w:tcPr>
          <w:p w:rsidR="001D0567" w:rsidRDefault="001D0567" w14:paraId="65B6AA0B" w14:textId="77777777">
            <w:pPr>
              <w:spacing w:before="100" w:after="0"/>
              <w:rPr>
                <w:color w:val="000000"/>
              </w:rPr>
            </w:pPr>
          </w:p>
          <w:p w:rsidRPr="00E80F2D" w:rsidR="00777D08" w:rsidRDefault="00211F76" w14:paraId="51C51DFD" w14:textId="67C40312">
            <w:pPr>
              <w:spacing w:before="100" w:after="0"/>
            </w:pPr>
            <w:r w:rsidRPr="00E80F2D">
              <w:rPr>
                <w:color w:val="000000"/>
              </w:rPr>
              <w:t>Neighborhood Development</w:t>
            </w:r>
          </w:p>
        </w:tc>
      </w:tr>
      <w:tr w:rsidRPr="00ED22E1" w:rsidR="00777D08" w14:paraId="7397B1E8" w14:textId="77777777">
        <w:trPr>
          <w:cantSplit/>
        </w:trPr>
        <w:tc>
          <w:tcPr>
            <w:tcW w:w="0" w:type="auto"/>
            <w:vMerge/>
          </w:tcPr>
          <w:p w:rsidRPr="00ED22E1" w:rsidR="00777D08" w:rsidRDefault="00777D08" w14:paraId="641AC383" w14:textId="77777777">
            <w:pPr>
              <w:rPr>
                <w:highlight w:val="lightGray"/>
              </w:rPr>
            </w:pPr>
          </w:p>
        </w:tc>
        <w:tc>
          <w:tcPr>
            <w:tcW w:w="0" w:type="auto"/>
          </w:tcPr>
          <w:p w:rsidRPr="001D0567" w:rsidR="00777D08" w:rsidRDefault="00211F76" w14:paraId="71CB702C" w14:textId="77777777">
            <w:pPr>
              <w:keepNext/>
              <w:spacing w:before="100" w:after="0"/>
              <w:rPr>
                <w:b/>
              </w:rPr>
            </w:pPr>
            <w:r w:rsidRPr="001D0567">
              <w:rPr>
                <w:b/>
              </w:rPr>
              <w:t>Target Area</w:t>
            </w:r>
          </w:p>
        </w:tc>
        <w:tc>
          <w:tcPr>
            <w:tcW w:w="0" w:type="auto"/>
          </w:tcPr>
          <w:p w:rsidRPr="001D0567" w:rsidR="00777D08" w:rsidRDefault="00211F76" w14:paraId="249B444B" w14:textId="77777777">
            <w:pPr>
              <w:spacing w:before="100" w:after="0"/>
            </w:pPr>
            <w:r w:rsidRPr="001D0567">
              <w:rPr>
                <w:color w:val="000000"/>
              </w:rPr>
              <w:t>NEIGHBORHOOD REVITALIZATION STRATEGY AREA</w:t>
            </w:r>
          </w:p>
        </w:tc>
      </w:tr>
      <w:tr w:rsidRPr="00ED22E1" w:rsidR="00777D08" w14:paraId="39291D75" w14:textId="77777777">
        <w:trPr>
          <w:cantSplit/>
        </w:trPr>
        <w:tc>
          <w:tcPr>
            <w:tcW w:w="0" w:type="auto"/>
            <w:vMerge/>
          </w:tcPr>
          <w:p w:rsidRPr="00ED22E1" w:rsidR="00777D08" w:rsidRDefault="00777D08" w14:paraId="1D91081F" w14:textId="77777777">
            <w:pPr>
              <w:rPr>
                <w:highlight w:val="lightGray"/>
              </w:rPr>
            </w:pPr>
          </w:p>
        </w:tc>
        <w:tc>
          <w:tcPr>
            <w:tcW w:w="0" w:type="auto"/>
          </w:tcPr>
          <w:p w:rsidRPr="001D0567" w:rsidR="00777D08" w:rsidRDefault="00211F76" w14:paraId="5FF14408" w14:textId="77777777">
            <w:pPr>
              <w:keepNext/>
              <w:spacing w:before="100" w:after="0"/>
              <w:rPr>
                <w:b/>
              </w:rPr>
            </w:pPr>
            <w:r w:rsidRPr="001D0567">
              <w:rPr>
                <w:b/>
              </w:rPr>
              <w:t>Goals Supported</w:t>
            </w:r>
          </w:p>
        </w:tc>
        <w:tc>
          <w:tcPr>
            <w:tcW w:w="0" w:type="auto"/>
          </w:tcPr>
          <w:p w:rsidRPr="001D0567" w:rsidR="00777D08" w:rsidRDefault="00211F76" w14:paraId="45CBDEA4" w14:textId="77777777">
            <w:pPr>
              <w:spacing w:before="100" w:after="0"/>
            </w:pPr>
            <w:r w:rsidRPr="001D0567">
              <w:rPr>
                <w:color w:val="000000"/>
              </w:rPr>
              <w:t>SL 1.3 Improve Public Facilities &amp; Infrastructure</w:t>
            </w:r>
          </w:p>
        </w:tc>
      </w:tr>
      <w:tr w:rsidRPr="00ED22E1" w:rsidR="00777D08" w14:paraId="74C0D15E" w14:textId="77777777">
        <w:trPr>
          <w:cantSplit/>
        </w:trPr>
        <w:tc>
          <w:tcPr>
            <w:tcW w:w="0" w:type="auto"/>
            <w:vMerge/>
          </w:tcPr>
          <w:p w:rsidRPr="00ED22E1" w:rsidR="00777D08" w:rsidRDefault="00777D08" w14:paraId="795BF036" w14:textId="77777777">
            <w:pPr>
              <w:rPr>
                <w:highlight w:val="lightGray"/>
              </w:rPr>
            </w:pPr>
          </w:p>
        </w:tc>
        <w:tc>
          <w:tcPr>
            <w:tcW w:w="0" w:type="auto"/>
          </w:tcPr>
          <w:p w:rsidRPr="001D0567" w:rsidR="00777D08" w:rsidRDefault="00211F76" w14:paraId="571B383C" w14:textId="77777777">
            <w:pPr>
              <w:keepNext/>
              <w:spacing w:before="100" w:after="0"/>
              <w:rPr>
                <w:b/>
              </w:rPr>
            </w:pPr>
            <w:r w:rsidRPr="001D0567">
              <w:rPr>
                <w:b/>
              </w:rPr>
              <w:t>Needs Addressed</w:t>
            </w:r>
          </w:p>
        </w:tc>
        <w:tc>
          <w:tcPr>
            <w:tcW w:w="0" w:type="auto"/>
          </w:tcPr>
          <w:p w:rsidRPr="001D0567" w:rsidR="00777D08" w:rsidRDefault="00211F76" w14:paraId="4A492FEF" w14:textId="77777777">
            <w:pPr>
              <w:spacing w:before="100" w:after="0"/>
            </w:pPr>
            <w:r w:rsidRPr="001D0567">
              <w:rPr>
                <w:color w:val="000000"/>
              </w:rPr>
              <w:t>Improve Public Facilities or Infrastructure</w:t>
            </w:r>
          </w:p>
        </w:tc>
      </w:tr>
      <w:tr w:rsidRPr="00ED22E1" w:rsidR="00777D08" w14:paraId="35C2386D" w14:textId="77777777">
        <w:trPr>
          <w:cantSplit/>
        </w:trPr>
        <w:tc>
          <w:tcPr>
            <w:tcW w:w="0" w:type="auto"/>
            <w:vMerge/>
          </w:tcPr>
          <w:p w:rsidRPr="00ED22E1" w:rsidR="00777D08" w:rsidRDefault="00777D08" w14:paraId="242CF26B" w14:textId="77777777">
            <w:pPr>
              <w:rPr>
                <w:highlight w:val="lightGray"/>
              </w:rPr>
            </w:pPr>
          </w:p>
        </w:tc>
        <w:tc>
          <w:tcPr>
            <w:tcW w:w="0" w:type="auto"/>
          </w:tcPr>
          <w:p w:rsidRPr="001D0567" w:rsidR="00777D08" w:rsidRDefault="00211F76" w14:paraId="6B5CC2AB" w14:textId="77777777">
            <w:pPr>
              <w:keepNext/>
              <w:spacing w:before="100" w:after="0"/>
              <w:rPr>
                <w:b/>
              </w:rPr>
            </w:pPr>
            <w:r w:rsidRPr="001D0567">
              <w:rPr>
                <w:b/>
              </w:rPr>
              <w:t>Funding</w:t>
            </w:r>
          </w:p>
        </w:tc>
        <w:tc>
          <w:tcPr>
            <w:tcW w:w="0" w:type="auto"/>
          </w:tcPr>
          <w:p w:rsidRPr="001D0567" w:rsidR="00777D08" w:rsidRDefault="00211F76" w14:paraId="60A5051E" w14:textId="6049A1AB">
            <w:pPr>
              <w:spacing w:before="100" w:after="0"/>
            </w:pPr>
            <w:r w:rsidRPr="001D0567">
              <w:rPr>
                <w:color w:val="000000"/>
              </w:rPr>
              <w:t>CDBG: $</w:t>
            </w:r>
            <w:r w:rsidRPr="001D0567" w:rsidR="001D0567">
              <w:rPr>
                <w:color w:val="000000"/>
              </w:rPr>
              <w:t>0</w:t>
            </w:r>
          </w:p>
        </w:tc>
      </w:tr>
      <w:tr w:rsidRPr="00ED22E1" w:rsidR="00777D08" w14:paraId="03EB3132" w14:textId="77777777">
        <w:trPr>
          <w:cantSplit/>
        </w:trPr>
        <w:tc>
          <w:tcPr>
            <w:tcW w:w="0" w:type="auto"/>
            <w:vMerge/>
          </w:tcPr>
          <w:p w:rsidRPr="00ED22E1" w:rsidR="00777D08" w:rsidRDefault="00777D08" w14:paraId="76FB6FFB" w14:textId="77777777">
            <w:pPr>
              <w:rPr>
                <w:highlight w:val="lightGray"/>
              </w:rPr>
            </w:pPr>
          </w:p>
        </w:tc>
        <w:tc>
          <w:tcPr>
            <w:tcW w:w="0" w:type="auto"/>
          </w:tcPr>
          <w:p w:rsidRPr="001D0567" w:rsidR="00777D08" w:rsidRDefault="00211F76" w14:paraId="2703EDD7" w14:textId="77777777">
            <w:pPr>
              <w:keepNext/>
              <w:spacing w:before="100" w:after="0"/>
              <w:rPr>
                <w:b/>
              </w:rPr>
            </w:pPr>
            <w:r w:rsidRPr="001D0567">
              <w:rPr>
                <w:b/>
              </w:rPr>
              <w:t>Description</w:t>
            </w:r>
          </w:p>
        </w:tc>
        <w:tc>
          <w:tcPr>
            <w:tcW w:w="0" w:type="auto"/>
          </w:tcPr>
          <w:p w:rsidRPr="001D0567" w:rsidR="00777D08" w:rsidRDefault="001D0567" w14:paraId="5CC81C1B" w14:textId="6FD2178C">
            <w:pPr>
              <w:spacing w:before="100" w:after="0"/>
            </w:pPr>
            <w:r w:rsidRPr="001D0567">
              <w:rPr>
                <w:color w:val="000000"/>
              </w:rPr>
              <w:t>During this Action Plan, no new awards were made.</w:t>
            </w:r>
          </w:p>
        </w:tc>
      </w:tr>
      <w:tr w:rsidRPr="00ED22E1" w:rsidR="00777D08" w14:paraId="659F6F4F" w14:textId="77777777">
        <w:trPr>
          <w:cantSplit/>
        </w:trPr>
        <w:tc>
          <w:tcPr>
            <w:tcW w:w="0" w:type="auto"/>
            <w:vMerge/>
          </w:tcPr>
          <w:p w:rsidRPr="00ED22E1" w:rsidR="00777D08" w:rsidRDefault="00777D08" w14:paraId="70CB0887" w14:textId="77777777">
            <w:pPr>
              <w:rPr>
                <w:highlight w:val="lightGray"/>
              </w:rPr>
            </w:pPr>
          </w:p>
        </w:tc>
        <w:tc>
          <w:tcPr>
            <w:tcW w:w="0" w:type="auto"/>
          </w:tcPr>
          <w:p w:rsidRPr="001D0567" w:rsidR="00777D08" w:rsidRDefault="00211F76" w14:paraId="38131A2E" w14:textId="77777777">
            <w:pPr>
              <w:keepNext/>
              <w:spacing w:before="100" w:after="0"/>
              <w:rPr>
                <w:b/>
              </w:rPr>
            </w:pPr>
            <w:r w:rsidRPr="001D0567">
              <w:rPr>
                <w:b/>
              </w:rPr>
              <w:t>Target Date</w:t>
            </w:r>
          </w:p>
        </w:tc>
        <w:tc>
          <w:tcPr>
            <w:tcW w:w="0" w:type="auto"/>
          </w:tcPr>
          <w:p w:rsidRPr="001D0567" w:rsidR="00777D08" w:rsidRDefault="00211F76" w14:paraId="4FE0295B" w14:textId="0D48A739">
            <w:pPr>
              <w:spacing w:before="100" w:after="0"/>
            </w:pPr>
            <w:r w:rsidRPr="001D0567">
              <w:rPr>
                <w:color w:val="000000"/>
              </w:rPr>
              <w:t>6/30/202</w:t>
            </w:r>
            <w:r w:rsidRPr="001D0567" w:rsidR="001D0567">
              <w:rPr>
                <w:color w:val="000000"/>
              </w:rPr>
              <w:t>2</w:t>
            </w:r>
          </w:p>
        </w:tc>
      </w:tr>
      <w:tr w:rsidRPr="00ED22E1" w:rsidR="00777D08" w14:paraId="3A353D3F" w14:textId="77777777">
        <w:trPr>
          <w:cantSplit/>
        </w:trPr>
        <w:tc>
          <w:tcPr>
            <w:tcW w:w="0" w:type="auto"/>
            <w:vMerge/>
          </w:tcPr>
          <w:p w:rsidRPr="00ED22E1" w:rsidR="00777D08" w:rsidRDefault="00777D08" w14:paraId="307E0F14" w14:textId="77777777">
            <w:pPr>
              <w:rPr>
                <w:highlight w:val="lightGray"/>
              </w:rPr>
            </w:pPr>
          </w:p>
        </w:tc>
        <w:tc>
          <w:tcPr>
            <w:tcW w:w="0" w:type="auto"/>
          </w:tcPr>
          <w:p w:rsidRPr="001D0567" w:rsidR="00777D08" w:rsidRDefault="00211F76" w14:paraId="6F1542E3" w14:textId="77777777">
            <w:pPr>
              <w:keepNext/>
              <w:spacing w:before="100" w:after="0"/>
              <w:rPr>
                <w:rFonts w:asciiTheme="minorHAnsi" w:hAnsiTheme="minorHAnsi"/>
                <w:b/>
              </w:rPr>
            </w:pPr>
            <w:r w:rsidRPr="001D0567">
              <w:rPr>
                <w:rStyle w:val="Strong"/>
                <w:rFonts w:asciiTheme="minorHAnsi" w:hAnsiTheme="minorHAnsi"/>
              </w:rPr>
              <w:t>Estimate the number and type of families that will benefit from the proposed activities</w:t>
            </w:r>
          </w:p>
        </w:tc>
        <w:tc>
          <w:tcPr>
            <w:tcW w:w="0" w:type="auto"/>
          </w:tcPr>
          <w:p w:rsidRPr="001D0567" w:rsidR="00777D08" w:rsidRDefault="001D0567" w14:paraId="0DA62710" w14:textId="708DDD2C">
            <w:pPr>
              <w:spacing w:before="100" w:after="0"/>
            </w:pPr>
            <w:r w:rsidRPr="001D0567">
              <w:rPr>
                <w:color w:val="000000"/>
              </w:rPr>
              <w:t>No new activities</w:t>
            </w:r>
            <w:r>
              <w:rPr>
                <w:color w:val="000000"/>
              </w:rPr>
              <w:t xml:space="preserve"> for this Action Plan. </w:t>
            </w:r>
          </w:p>
        </w:tc>
      </w:tr>
      <w:tr w:rsidRPr="00ED22E1" w:rsidR="00777D08" w14:paraId="437BC06D" w14:textId="77777777">
        <w:trPr>
          <w:cantSplit/>
        </w:trPr>
        <w:tc>
          <w:tcPr>
            <w:tcW w:w="0" w:type="auto"/>
            <w:vMerge/>
          </w:tcPr>
          <w:p w:rsidRPr="00ED22E1" w:rsidR="00777D08" w:rsidRDefault="00777D08" w14:paraId="277B68B7" w14:textId="77777777">
            <w:pPr>
              <w:rPr>
                <w:highlight w:val="lightGray"/>
              </w:rPr>
            </w:pPr>
          </w:p>
        </w:tc>
        <w:tc>
          <w:tcPr>
            <w:tcW w:w="0" w:type="auto"/>
          </w:tcPr>
          <w:p w:rsidRPr="001D0567" w:rsidR="00777D08" w:rsidRDefault="00211F76" w14:paraId="446CEB41" w14:textId="77777777">
            <w:pPr>
              <w:keepNext/>
              <w:spacing w:before="100" w:after="0"/>
              <w:rPr>
                <w:rFonts w:asciiTheme="minorHAnsi" w:hAnsiTheme="minorHAnsi"/>
                <w:b/>
              </w:rPr>
            </w:pPr>
            <w:r w:rsidRPr="001D0567">
              <w:rPr>
                <w:rStyle w:val="Strong"/>
                <w:rFonts w:asciiTheme="minorHAnsi" w:hAnsiTheme="minorHAnsi"/>
              </w:rPr>
              <w:t>Location Description</w:t>
            </w:r>
          </w:p>
        </w:tc>
        <w:tc>
          <w:tcPr>
            <w:tcW w:w="0" w:type="auto"/>
          </w:tcPr>
          <w:p w:rsidRPr="001D0567" w:rsidR="00777D08" w:rsidRDefault="008117DB" w14:paraId="2189EDFD" w14:textId="5554005D">
            <w:pPr>
              <w:spacing w:before="100" w:after="0"/>
            </w:pPr>
            <w:r w:rsidRPr="001D0567">
              <w:rPr>
                <w:color w:val="000000"/>
              </w:rPr>
              <w:t>NEIGHBORHOOD REVITALIZATION STRATEGY AREA</w:t>
            </w:r>
          </w:p>
        </w:tc>
      </w:tr>
      <w:tr w:rsidRPr="00ED22E1" w:rsidR="00777D08" w14:paraId="1EEBF22A" w14:textId="77777777">
        <w:trPr>
          <w:cantSplit/>
        </w:trPr>
        <w:tc>
          <w:tcPr>
            <w:tcW w:w="0" w:type="auto"/>
            <w:vMerge/>
          </w:tcPr>
          <w:p w:rsidRPr="00ED22E1" w:rsidR="00777D08" w:rsidRDefault="00777D08" w14:paraId="7D91F44E" w14:textId="77777777">
            <w:pPr>
              <w:rPr>
                <w:highlight w:val="lightGray"/>
              </w:rPr>
            </w:pPr>
          </w:p>
        </w:tc>
        <w:tc>
          <w:tcPr>
            <w:tcW w:w="0" w:type="auto"/>
          </w:tcPr>
          <w:p w:rsidRPr="001D0567" w:rsidR="00777D08" w:rsidRDefault="00211F76" w14:paraId="635644F4" w14:textId="77777777">
            <w:pPr>
              <w:keepNext/>
              <w:spacing w:before="100" w:after="0"/>
              <w:rPr>
                <w:rFonts w:asciiTheme="minorHAnsi" w:hAnsiTheme="minorHAnsi"/>
                <w:b/>
              </w:rPr>
            </w:pPr>
            <w:r w:rsidRPr="001D0567">
              <w:rPr>
                <w:rStyle w:val="Strong"/>
                <w:rFonts w:asciiTheme="minorHAnsi" w:hAnsiTheme="minorHAnsi"/>
              </w:rPr>
              <w:t>Planned Activities</w:t>
            </w:r>
          </w:p>
        </w:tc>
        <w:tc>
          <w:tcPr>
            <w:tcW w:w="0" w:type="auto"/>
          </w:tcPr>
          <w:p w:rsidRPr="001D0567" w:rsidR="00777D08" w:rsidRDefault="001D0567" w14:paraId="3CC9A5D7" w14:textId="20F3F7E4">
            <w:pPr>
              <w:spacing w:before="100" w:after="0"/>
            </w:pPr>
            <w:r w:rsidRPr="001D0567">
              <w:rPr>
                <w:color w:val="000000"/>
              </w:rPr>
              <w:t>No new activities</w:t>
            </w:r>
            <w:r w:rsidRPr="001D0567" w:rsidR="00211F76">
              <w:rPr>
                <w:color w:val="000000"/>
              </w:rPr>
              <w:t> </w:t>
            </w:r>
            <w:r>
              <w:rPr>
                <w:color w:val="000000"/>
              </w:rPr>
              <w:t xml:space="preserve">for this Action Plan. </w:t>
            </w:r>
          </w:p>
        </w:tc>
      </w:tr>
      <w:tr w:rsidRPr="00ED22E1" w:rsidR="00777D08" w14:paraId="0EB5A19E" w14:textId="77777777">
        <w:trPr>
          <w:cantSplit/>
        </w:trPr>
        <w:tc>
          <w:tcPr>
            <w:tcW w:w="0" w:type="auto"/>
            <w:vMerge w:val="restart"/>
          </w:tcPr>
          <w:p w:rsidRPr="001D0567" w:rsidR="00777D08" w:rsidRDefault="00AF5F64" w14:paraId="5CB5EC8E" w14:textId="0CBA589F">
            <w:r w:rsidRPr="001D0567">
              <w:rPr>
                <w:b/>
              </w:rPr>
              <w:t>6</w:t>
            </w:r>
          </w:p>
        </w:tc>
        <w:tc>
          <w:tcPr>
            <w:tcW w:w="0" w:type="auto"/>
          </w:tcPr>
          <w:p w:rsidRPr="001D0567" w:rsidR="00777D08" w:rsidRDefault="00211F76" w14:paraId="4A40DF5F" w14:textId="77777777">
            <w:pPr>
              <w:keepNext/>
              <w:spacing w:before="100" w:after="0"/>
              <w:rPr>
                <w:b/>
              </w:rPr>
            </w:pPr>
            <w:r w:rsidRPr="001D0567">
              <w:rPr>
                <w:b/>
              </w:rPr>
              <w:t>Project Name</w:t>
            </w:r>
          </w:p>
        </w:tc>
        <w:tc>
          <w:tcPr>
            <w:tcW w:w="0" w:type="auto"/>
          </w:tcPr>
          <w:p w:rsidRPr="001D0567" w:rsidR="00777D08" w:rsidRDefault="00211F76" w14:paraId="35C62CE8" w14:textId="77777777">
            <w:pPr>
              <w:spacing w:before="100" w:after="0"/>
            </w:pPr>
            <w:r w:rsidRPr="001D0567">
              <w:rPr>
                <w:color w:val="000000"/>
              </w:rPr>
              <w:t>Burlington Brownfields Program</w:t>
            </w:r>
          </w:p>
        </w:tc>
      </w:tr>
      <w:tr w:rsidRPr="00ED22E1" w:rsidR="00777D08" w14:paraId="05CDBBE9" w14:textId="77777777">
        <w:trPr>
          <w:cantSplit/>
        </w:trPr>
        <w:tc>
          <w:tcPr>
            <w:tcW w:w="0" w:type="auto"/>
            <w:vMerge/>
          </w:tcPr>
          <w:p w:rsidRPr="001D0567" w:rsidR="00777D08" w:rsidRDefault="00777D08" w14:paraId="6905DC00" w14:textId="77777777"/>
        </w:tc>
        <w:tc>
          <w:tcPr>
            <w:tcW w:w="0" w:type="auto"/>
          </w:tcPr>
          <w:p w:rsidRPr="001D0567" w:rsidR="00777D08" w:rsidRDefault="00211F76" w14:paraId="20D5CF48" w14:textId="77777777">
            <w:pPr>
              <w:keepNext/>
              <w:spacing w:before="100" w:after="0"/>
              <w:rPr>
                <w:b/>
              </w:rPr>
            </w:pPr>
            <w:r w:rsidRPr="001D0567">
              <w:rPr>
                <w:b/>
              </w:rPr>
              <w:t>Target Area</w:t>
            </w:r>
          </w:p>
        </w:tc>
        <w:tc>
          <w:tcPr>
            <w:tcW w:w="0" w:type="auto"/>
          </w:tcPr>
          <w:p w:rsidRPr="001D0567" w:rsidR="00777D08" w:rsidRDefault="00211F76" w14:paraId="457DCA7B" w14:textId="77777777">
            <w:pPr>
              <w:spacing w:before="100" w:after="0"/>
            </w:pPr>
            <w:r w:rsidRPr="001D0567">
              <w:rPr>
                <w:color w:val="000000"/>
              </w:rPr>
              <w:t>NEIGHBORHOOD REVITALIZATION STRATEGY AREA</w:t>
            </w:r>
          </w:p>
        </w:tc>
      </w:tr>
      <w:tr w:rsidRPr="00ED22E1" w:rsidR="00777D08" w14:paraId="425B9DB5" w14:textId="77777777">
        <w:trPr>
          <w:cantSplit/>
        </w:trPr>
        <w:tc>
          <w:tcPr>
            <w:tcW w:w="0" w:type="auto"/>
            <w:vMerge/>
          </w:tcPr>
          <w:p w:rsidRPr="001D0567" w:rsidR="00777D08" w:rsidRDefault="00777D08" w14:paraId="40AE8A59" w14:textId="77777777"/>
        </w:tc>
        <w:tc>
          <w:tcPr>
            <w:tcW w:w="0" w:type="auto"/>
          </w:tcPr>
          <w:p w:rsidRPr="001D0567" w:rsidR="00777D08" w:rsidRDefault="00211F76" w14:paraId="02FE54B9" w14:textId="77777777">
            <w:pPr>
              <w:keepNext/>
              <w:spacing w:before="100" w:after="0"/>
              <w:rPr>
                <w:b/>
              </w:rPr>
            </w:pPr>
            <w:r w:rsidRPr="001D0567">
              <w:rPr>
                <w:b/>
              </w:rPr>
              <w:t>Goals Supported</w:t>
            </w:r>
          </w:p>
        </w:tc>
        <w:tc>
          <w:tcPr>
            <w:tcW w:w="0" w:type="auto"/>
          </w:tcPr>
          <w:p w:rsidRPr="00EF1A90" w:rsidR="00777D08" w:rsidRDefault="00211F76" w14:paraId="7204EF42" w14:textId="3754077D">
            <w:pPr>
              <w:spacing w:before="100" w:after="0"/>
            </w:pPr>
            <w:r w:rsidRPr="00EF1A90">
              <w:rPr>
                <w:color w:val="000000"/>
              </w:rPr>
              <w:t xml:space="preserve">SL 1.4 Remediation </w:t>
            </w:r>
            <w:r w:rsidRPr="00EF1A90" w:rsidR="001D0567">
              <w:rPr>
                <w:color w:val="000000"/>
              </w:rPr>
              <w:t>of Brownfields</w:t>
            </w:r>
          </w:p>
        </w:tc>
      </w:tr>
      <w:tr w:rsidRPr="00ED22E1" w:rsidR="00777D08" w14:paraId="278E820C" w14:textId="77777777">
        <w:trPr>
          <w:cantSplit/>
        </w:trPr>
        <w:tc>
          <w:tcPr>
            <w:tcW w:w="0" w:type="auto"/>
            <w:vMerge/>
          </w:tcPr>
          <w:p w:rsidRPr="001D0567" w:rsidR="00777D08" w:rsidRDefault="00777D08" w14:paraId="4FBDF45B" w14:textId="77777777"/>
        </w:tc>
        <w:tc>
          <w:tcPr>
            <w:tcW w:w="0" w:type="auto"/>
          </w:tcPr>
          <w:p w:rsidRPr="001D0567" w:rsidR="00777D08" w:rsidRDefault="00211F76" w14:paraId="45542B76" w14:textId="77777777">
            <w:pPr>
              <w:keepNext/>
              <w:spacing w:before="100" w:after="0"/>
              <w:rPr>
                <w:b/>
              </w:rPr>
            </w:pPr>
            <w:r w:rsidRPr="001D0567">
              <w:rPr>
                <w:b/>
              </w:rPr>
              <w:t>Needs Addressed</w:t>
            </w:r>
          </w:p>
        </w:tc>
        <w:tc>
          <w:tcPr>
            <w:tcW w:w="0" w:type="auto"/>
          </w:tcPr>
          <w:p w:rsidRPr="00EF1A90" w:rsidR="00777D08" w:rsidRDefault="00211F76" w14:paraId="491436FE" w14:textId="77777777">
            <w:pPr>
              <w:spacing w:before="100" w:after="0"/>
            </w:pPr>
            <w:r w:rsidRPr="00EF1A90">
              <w:rPr>
                <w:color w:val="000000"/>
              </w:rPr>
              <w:t>Clean-up of Contaminated Sites</w:t>
            </w:r>
          </w:p>
        </w:tc>
      </w:tr>
      <w:tr w:rsidRPr="00ED22E1" w:rsidR="00777D08" w14:paraId="75B0F47B" w14:textId="77777777">
        <w:trPr>
          <w:cantSplit/>
        </w:trPr>
        <w:tc>
          <w:tcPr>
            <w:tcW w:w="0" w:type="auto"/>
            <w:vMerge/>
          </w:tcPr>
          <w:p w:rsidRPr="001D0567" w:rsidR="00777D08" w:rsidRDefault="00777D08" w14:paraId="211FBCAF" w14:textId="77777777"/>
        </w:tc>
        <w:tc>
          <w:tcPr>
            <w:tcW w:w="0" w:type="auto"/>
          </w:tcPr>
          <w:p w:rsidRPr="001D0567" w:rsidR="00777D08" w:rsidRDefault="00211F76" w14:paraId="59965380" w14:textId="77777777">
            <w:pPr>
              <w:keepNext/>
              <w:spacing w:before="100" w:after="0"/>
              <w:rPr>
                <w:b/>
              </w:rPr>
            </w:pPr>
            <w:r w:rsidRPr="001D0567">
              <w:rPr>
                <w:b/>
              </w:rPr>
              <w:t>Funding</w:t>
            </w:r>
          </w:p>
        </w:tc>
        <w:tc>
          <w:tcPr>
            <w:tcW w:w="0" w:type="auto"/>
          </w:tcPr>
          <w:p w:rsidRPr="00EF1A90" w:rsidR="00777D08" w:rsidRDefault="00211F76" w14:paraId="770E2BBD" w14:textId="45DB2E62">
            <w:pPr>
              <w:spacing w:before="100" w:after="0"/>
            </w:pPr>
            <w:r w:rsidRPr="00EF1A90">
              <w:rPr>
                <w:color w:val="000000"/>
              </w:rPr>
              <w:t xml:space="preserve">CDBG: </w:t>
            </w:r>
            <w:r w:rsidRPr="00EF1A90">
              <w:rPr>
                <w:b/>
                <w:color w:val="000000"/>
              </w:rPr>
              <w:t>$</w:t>
            </w:r>
            <w:r w:rsidRPr="00EF1A90" w:rsidR="00975A00">
              <w:rPr>
                <w:b/>
                <w:color w:val="000000"/>
              </w:rPr>
              <w:t>276,148</w:t>
            </w:r>
          </w:p>
        </w:tc>
      </w:tr>
      <w:tr w:rsidRPr="00ED22E1" w:rsidR="00777D08" w14:paraId="26162B56" w14:textId="77777777">
        <w:trPr>
          <w:cantSplit/>
        </w:trPr>
        <w:tc>
          <w:tcPr>
            <w:tcW w:w="0" w:type="auto"/>
            <w:vMerge/>
          </w:tcPr>
          <w:p w:rsidRPr="001D0567" w:rsidR="00777D08" w:rsidRDefault="00777D08" w14:paraId="20A01895" w14:textId="77777777"/>
        </w:tc>
        <w:tc>
          <w:tcPr>
            <w:tcW w:w="0" w:type="auto"/>
          </w:tcPr>
          <w:p w:rsidRPr="00294A23" w:rsidR="00777D08" w:rsidRDefault="00211F76" w14:paraId="38DBD662" w14:textId="77777777">
            <w:pPr>
              <w:keepNext/>
              <w:spacing w:before="100" w:after="0"/>
              <w:rPr>
                <w:color w:val="000000"/>
              </w:rPr>
            </w:pPr>
            <w:r w:rsidRPr="00294A23">
              <w:rPr>
                <w:color w:val="000000"/>
              </w:rPr>
              <w:t>Description</w:t>
            </w:r>
          </w:p>
        </w:tc>
        <w:tc>
          <w:tcPr>
            <w:tcW w:w="0" w:type="auto"/>
          </w:tcPr>
          <w:p w:rsidRPr="00294A23" w:rsidR="00777D08" w:rsidRDefault="00211F76" w14:paraId="64BC47AA" w14:textId="375E8278">
            <w:pPr>
              <w:spacing w:before="100" w:after="0"/>
              <w:rPr>
                <w:color w:val="000000"/>
              </w:rPr>
            </w:pPr>
            <w:r w:rsidRPr="001D0567">
              <w:rPr>
                <w:color w:val="000000"/>
              </w:rPr>
              <w:t>To assist with testing, remediation, and redevelopment of the City's Brownfields and potentially hazardous sites, focusing on affordable housing development, small/medium business growth, and green space.</w:t>
            </w:r>
            <w:r w:rsidR="00157EE4">
              <w:rPr>
                <w:color w:val="000000"/>
              </w:rPr>
              <w:t xml:space="preserve"> </w:t>
            </w:r>
            <w:r w:rsidRPr="00294A23" w:rsidR="00157EE4">
              <w:rPr>
                <w:color w:val="000000"/>
              </w:rPr>
              <w:t>The funding allocation will be used to complete the Moran Frame project in the Autumn of 2021.</w:t>
            </w:r>
          </w:p>
        </w:tc>
      </w:tr>
      <w:tr w:rsidRPr="00ED22E1" w:rsidR="00777D08" w14:paraId="7D21DD55" w14:textId="77777777">
        <w:trPr>
          <w:cantSplit/>
        </w:trPr>
        <w:tc>
          <w:tcPr>
            <w:tcW w:w="0" w:type="auto"/>
            <w:vMerge/>
          </w:tcPr>
          <w:p w:rsidRPr="001D0567" w:rsidR="00777D08" w:rsidRDefault="00777D08" w14:paraId="3B894F45" w14:textId="77777777"/>
        </w:tc>
        <w:tc>
          <w:tcPr>
            <w:tcW w:w="0" w:type="auto"/>
          </w:tcPr>
          <w:p w:rsidRPr="00294A23" w:rsidR="00777D08" w:rsidRDefault="00211F76" w14:paraId="1DB2D96B" w14:textId="77777777">
            <w:pPr>
              <w:keepNext/>
              <w:spacing w:before="100" w:after="0"/>
              <w:rPr>
                <w:color w:val="000000"/>
              </w:rPr>
            </w:pPr>
            <w:r w:rsidRPr="00294A23">
              <w:rPr>
                <w:color w:val="000000"/>
              </w:rPr>
              <w:t>Target Date</w:t>
            </w:r>
          </w:p>
        </w:tc>
        <w:tc>
          <w:tcPr>
            <w:tcW w:w="0" w:type="auto"/>
          </w:tcPr>
          <w:p w:rsidRPr="00294A23" w:rsidR="00777D08" w:rsidRDefault="00211F76" w14:paraId="714B9F0E" w14:textId="5961C274">
            <w:pPr>
              <w:spacing w:before="100" w:after="0"/>
              <w:rPr>
                <w:color w:val="000000"/>
              </w:rPr>
            </w:pPr>
            <w:r w:rsidRPr="001D0567">
              <w:rPr>
                <w:color w:val="000000"/>
              </w:rPr>
              <w:t>6/30/202</w:t>
            </w:r>
            <w:r w:rsidRPr="001D0567" w:rsidR="001D0567">
              <w:rPr>
                <w:color w:val="000000"/>
              </w:rPr>
              <w:t>2</w:t>
            </w:r>
          </w:p>
        </w:tc>
      </w:tr>
      <w:tr w:rsidRPr="00ED22E1" w:rsidR="00777D08" w14:paraId="55396E5F" w14:textId="77777777">
        <w:trPr>
          <w:cantSplit/>
        </w:trPr>
        <w:tc>
          <w:tcPr>
            <w:tcW w:w="0" w:type="auto"/>
            <w:vMerge/>
          </w:tcPr>
          <w:p w:rsidRPr="00ED22E1" w:rsidR="00777D08" w:rsidRDefault="00777D08" w14:paraId="173512D2" w14:textId="77777777">
            <w:pPr>
              <w:rPr>
                <w:highlight w:val="lightGray"/>
              </w:rPr>
            </w:pPr>
          </w:p>
        </w:tc>
        <w:tc>
          <w:tcPr>
            <w:tcW w:w="0" w:type="auto"/>
          </w:tcPr>
          <w:p w:rsidRPr="00294A23" w:rsidR="00777D08" w:rsidRDefault="00211F76" w14:paraId="6A1FCF63" w14:textId="77777777">
            <w:pPr>
              <w:keepNext/>
              <w:spacing w:before="100" w:after="0"/>
              <w:rPr>
                <w:color w:val="000000"/>
              </w:rPr>
            </w:pPr>
            <w:r w:rsidRPr="00294A23">
              <w:rPr>
                <w:b/>
                <w:bCs/>
                <w:color w:val="000000"/>
              </w:rPr>
              <w:t>Estimate the number and type of families that will benefit from the proposed activities</w:t>
            </w:r>
          </w:p>
        </w:tc>
        <w:tc>
          <w:tcPr>
            <w:tcW w:w="0" w:type="auto"/>
          </w:tcPr>
          <w:p w:rsidRPr="00294A23" w:rsidR="00777D08" w:rsidRDefault="00DA56F8" w14:paraId="616405A5" w14:textId="11C91580">
            <w:pPr>
              <w:spacing w:before="100" w:after="0"/>
              <w:rPr>
                <w:color w:val="000000"/>
              </w:rPr>
            </w:pPr>
            <w:r w:rsidRPr="00294A23">
              <w:rPr>
                <w:color w:val="000000"/>
              </w:rPr>
              <w:t>Brownfields (Moran)</w:t>
            </w:r>
            <w:r w:rsidRPr="00294A23" w:rsidR="001D0567">
              <w:rPr>
                <w:color w:val="000000"/>
              </w:rPr>
              <w:t xml:space="preserve"> – </w:t>
            </w:r>
            <w:r w:rsidRPr="00294A23" w:rsidR="00B84A57">
              <w:rPr>
                <w:color w:val="000000"/>
              </w:rPr>
              <w:t>2</w:t>
            </w:r>
            <w:r w:rsidRPr="00294A23" w:rsidR="001D0567">
              <w:rPr>
                <w:color w:val="000000"/>
              </w:rPr>
              <w:t xml:space="preserve"> </w:t>
            </w:r>
            <w:proofErr w:type="gramStart"/>
            <w:r w:rsidRPr="00294A23" w:rsidR="001D0567">
              <w:rPr>
                <w:color w:val="000000"/>
              </w:rPr>
              <w:t>acre</w:t>
            </w:r>
            <w:proofErr w:type="gramEnd"/>
            <w:r w:rsidRPr="00294A23" w:rsidR="001D0567">
              <w:rPr>
                <w:color w:val="000000"/>
              </w:rPr>
              <w:t xml:space="preserve"> remediated</w:t>
            </w:r>
          </w:p>
        </w:tc>
      </w:tr>
      <w:tr w:rsidRPr="00ED22E1" w:rsidR="00777D08" w14:paraId="5927BD36" w14:textId="77777777">
        <w:trPr>
          <w:cantSplit/>
        </w:trPr>
        <w:tc>
          <w:tcPr>
            <w:tcW w:w="0" w:type="auto"/>
            <w:vMerge/>
          </w:tcPr>
          <w:p w:rsidRPr="00ED22E1" w:rsidR="00777D08" w:rsidRDefault="00777D08" w14:paraId="174C0DC7" w14:textId="77777777">
            <w:pPr>
              <w:rPr>
                <w:highlight w:val="lightGray"/>
              </w:rPr>
            </w:pPr>
          </w:p>
        </w:tc>
        <w:tc>
          <w:tcPr>
            <w:tcW w:w="0" w:type="auto"/>
          </w:tcPr>
          <w:p w:rsidRPr="00294A23" w:rsidR="00777D08" w:rsidRDefault="00211F76" w14:paraId="5BB947E9" w14:textId="77777777">
            <w:pPr>
              <w:keepNext/>
              <w:spacing w:before="100" w:after="0"/>
              <w:rPr>
                <w:color w:val="000000"/>
              </w:rPr>
            </w:pPr>
            <w:r w:rsidRPr="00294A23">
              <w:rPr>
                <w:b/>
                <w:bCs/>
                <w:color w:val="000000"/>
              </w:rPr>
              <w:t>Location Description</w:t>
            </w:r>
          </w:p>
        </w:tc>
        <w:tc>
          <w:tcPr>
            <w:tcW w:w="0" w:type="auto"/>
          </w:tcPr>
          <w:p w:rsidRPr="00294A23" w:rsidR="00777D08" w:rsidRDefault="00B012A7" w14:paraId="6E088D75" w14:textId="5902ABEB">
            <w:pPr>
              <w:spacing w:before="100" w:after="0"/>
              <w:rPr>
                <w:color w:val="000000"/>
              </w:rPr>
            </w:pPr>
            <w:r w:rsidRPr="001D0567">
              <w:rPr>
                <w:color w:val="000000"/>
              </w:rPr>
              <w:t>NEIGHBORHOOD REVITALIZATION STRATEGY AREA</w:t>
            </w:r>
          </w:p>
        </w:tc>
      </w:tr>
      <w:tr w:rsidRPr="00ED22E1" w:rsidR="00777D08" w14:paraId="67731C87" w14:textId="77777777">
        <w:trPr>
          <w:cantSplit/>
        </w:trPr>
        <w:tc>
          <w:tcPr>
            <w:tcW w:w="0" w:type="auto"/>
            <w:vMerge/>
          </w:tcPr>
          <w:p w:rsidRPr="00ED22E1" w:rsidR="00777D08" w:rsidRDefault="00777D08" w14:paraId="64929642" w14:textId="77777777">
            <w:pPr>
              <w:rPr>
                <w:highlight w:val="lightGray"/>
              </w:rPr>
            </w:pPr>
          </w:p>
        </w:tc>
        <w:tc>
          <w:tcPr>
            <w:tcW w:w="0" w:type="auto"/>
          </w:tcPr>
          <w:p w:rsidRPr="00294A23" w:rsidR="00777D08" w:rsidRDefault="00211F76" w14:paraId="669B536A" w14:textId="77777777">
            <w:pPr>
              <w:keepNext/>
              <w:spacing w:before="100" w:after="0"/>
              <w:rPr>
                <w:color w:val="000000"/>
              </w:rPr>
            </w:pPr>
            <w:r w:rsidRPr="00294A23">
              <w:rPr>
                <w:b/>
                <w:bCs/>
                <w:color w:val="000000"/>
              </w:rPr>
              <w:t>Planned Activities</w:t>
            </w:r>
          </w:p>
        </w:tc>
        <w:tc>
          <w:tcPr>
            <w:tcW w:w="0" w:type="auto"/>
          </w:tcPr>
          <w:p w:rsidRPr="00294A23" w:rsidR="00777D08" w:rsidRDefault="00211F76" w14:paraId="6FDC09DB" w14:textId="77777777">
            <w:pPr>
              <w:spacing w:before="100" w:after="0"/>
              <w:rPr>
                <w:color w:val="000000"/>
              </w:rPr>
            </w:pPr>
            <w:r w:rsidRPr="00364CC4">
              <w:rPr>
                <w:color w:val="000000"/>
              </w:rPr>
              <w:t>The Brownfields program is able to help move complex projects though the program activities of assessment, cleanup, and redevelopment through direct service to clients, while leveraging relationships forged with the regulatory and funding community. </w:t>
            </w:r>
          </w:p>
        </w:tc>
      </w:tr>
      <w:tr w:rsidRPr="00ED22E1" w:rsidR="00777D08" w14:paraId="63B32062" w14:textId="77777777">
        <w:trPr>
          <w:cantSplit/>
        </w:trPr>
        <w:tc>
          <w:tcPr>
            <w:tcW w:w="0" w:type="auto"/>
            <w:vMerge w:val="restart"/>
          </w:tcPr>
          <w:p w:rsidRPr="00364CC4" w:rsidR="00777D08" w:rsidRDefault="00AF5F64" w14:paraId="461A5E8E" w14:textId="12D8F68B">
            <w:r w:rsidRPr="00364CC4">
              <w:rPr>
                <w:b/>
              </w:rPr>
              <w:t>7</w:t>
            </w:r>
          </w:p>
        </w:tc>
        <w:tc>
          <w:tcPr>
            <w:tcW w:w="0" w:type="auto"/>
          </w:tcPr>
          <w:p w:rsidRPr="00294A23" w:rsidR="00777D08" w:rsidRDefault="00211F76" w14:paraId="7CAA3C8F" w14:textId="77777777">
            <w:pPr>
              <w:keepNext/>
              <w:spacing w:before="100" w:after="0"/>
              <w:rPr>
                <w:color w:val="000000"/>
              </w:rPr>
            </w:pPr>
            <w:r w:rsidRPr="00294A23">
              <w:rPr>
                <w:color w:val="000000"/>
              </w:rPr>
              <w:t>Project Name</w:t>
            </w:r>
          </w:p>
        </w:tc>
        <w:tc>
          <w:tcPr>
            <w:tcW w:w="0" w:type="auto"/>
          </w:tcPr>
          <w:p w:rsidRPr="00294A23" w:rsidR="00777D08" w:rsidRDefault="00211F76" w14:paraId="29E22506" w14:textId="77777777">
            <w:pPr>
              <w:spacing w:before="100" w:after="0"/>
              <w:rPr>
                <w:color w:val="000000"/>
              </w:rPr>
            </w:pPr>
            <w:r w:rsidRPr="00364CC4">
              <w:rPr>
                <w:color w:val="000000"/>
              </w:rPr>
              <w:t>Public Service Economic Opportunity</w:t>
            </w:r>
          </w:p>
        </w:tc>
      </w:tr>
      <w:tr w:rsidRPr="00ED22E1" w:rsidR="00777D08" w14:paraId="79FD9302" w14:textId="77777777">
        <w:trPr>
          <w:cantSplit/>
        </w:trPr>
        <w:tc>
          <w:tcPr>
            <w:tcW w:w="0" w:type="auto"/>
            <w:vMerge/>
          </w:tcPr>
          <w:p w:rsidRPr="00364CC4" w:rsidR="00777D08" w:rsidRDefault="00777D08" w14:paraId="69EE3B32" w14:textId="77777777"/>
        </w:tc>
        <w:tc>
          <w:tcPr>
            <w:tcW w:w="0" w:type="auto"/>
          </w:tcPr>
          <w:p w:rsidRPr="00294A23" w:rsidR="00777D08" w:rsidRDefault="00211F76" w14:paraId="7361E712" w14:textId="77777777">
            <w:pPr>
              <w:keepNext/>
              <w:spacing w:before="100" w:after="0"/>
              <w:rPr>
                <w:color w:val="000000"/>
              </w:rPr>
            </w:pPr>
            <w:r w:rsidRPr="00294A23">
              <w:rPr>
                <w:color w:val="000000"/>
              </w:rPr>
              <w:t>Target Area</w:t>
            </w:r>
          </w:p>
        </w:tc>
        <w:tc>
          <w:tcPr>
            <w:tcW w:w="0" w:type="auto"/>
          </w:tcPr>
          <w:p w:rsidRPr="00364CC4" w:rsidR="00777D08" w:rsidRDefault="00211F76" w14:paraId="60152C09" w14:textId="77777777">
            <w:pPr>
              <w:spacing w:before="100" w:after="0"/>
              <w:rPr>
                <w:color w:val="000000"/>
              </w:rPr>
            </w:pPr>
            <w:r w:rsidRPr="00364CC4">
              <w:rPr>
                <w:color w:val="000000"/>
              </w:rPr>
              <w:t>NEIGHBORHOOD REVITALIZATION STRATEGY AREA</w:t>
            </w:r>
          </w:p>
          <w:p w:rsidRPr="00294A23" w:rsidR="004D6528" w:rsidRDefault="004D6528" w14:paraId="0DEA8BB0" w14:textId="45301EA8">
            <w:pPr>
              <w:spacing w:before="100" w:after="0"/>
              <w:rPr>
                <w:color w:val="000000"/>
              </w:rPr>
            </w:pPr>
            <w:r w:rsidRPr="00294A23">
              <w:rPr>
                <w:color w:val="000000"/>
              </w:rPr>
              <w:t>City Wide</w:t>
            </w:r>
          </w:p>
        </w:tc>
      </w:tr>
      <w:tr w:rsidRPr="00ED22E1" w:rsidR="00777D08" w14:paraId="42150BF8" w14:textId="77777777">
        <w:trPr>
          <w:cantSplit/>
        </w:trPr>
        <w:tc>
          <w:tcPr>
            <w:tcW w:w="0" w:type="auto"/>
            <w:vMerge/>
          </w:tcPr>
          <w:p w:rsidRPr="00ED22E1" w:rsidR="00777D08" w:rsidRDefault="00777D08" w14:paraId="0FFDBD26" w14:textId="77777777">
            <w:pPr>
              <w:rPr>
                <w:highlight w:val="lightGray"/>
              </w:rPr>
            </w:pPr>
          </w:p>
        </w:tc>
        <w:tc>
          <w:tcPr>
            <w:tcW w:w="0" w:type="auto"/>
          </w:tcPr>
          <w:p w:rsidRPr="00294A23" w:rsidR="00777D08" w:rsidRDefault="00211F76" w14:paraId="144E1361" w14:textId="77777777">
            <w:pPr>
              <w:keepNext/>
              <w:spacing w:before="100" w:after="0"/>
              <w:rPr>
                <w:color w:val="000000"/>
              </w:rPr>
            </w:pPr>
            <w:r w:rsidRPr="00294A23">
              <w:rPr>
                <w:color w:val="000000"/>
              </w:rPr>
              <w:t>Goals Supported</w:t>
            </w:r>
          </w:p>
        </w:tc>
        <w:tc>
          <w:tcPr>
            <w:tcW w:w="0" w:type="auto"/>
          </w:tcPr>
          <w:p w:rsidRPr="00294A23" w:rsidR="00777D08" w:rsidRDefault="00211F76" w14:paraId="124A2909" w14:textId="77777777">
            <w:pPr>
              <w:spacing w:before="100" w:after="0"/>
              <w:rPr>
                <w:color w:val="000000"/>
              </w:rPr>
            </w:pPr>
            <w:r w:rsidRPr="004B3D5E">
              <w:rPr>
                <w:color w:val="000000"/>
              </w:rPr>
              <w:t>EO 1.4 Reduce Economic Barriers - Access Resources</w:t>
            </w:r>
          </w:p>
        </w:tc>
      </w:tr>
      <w:tr w:rsidRPr="00ED22E1" w:rsidR="00777D08" w14:paraId="0FF7F7C8" w14:textId="77777777">
        <w:trPr>
          <w:cantSplit/>
        </w:trPr>
        <w:tc>
          <w:tcPr>
            <w:tcW w:w="0" w:type="auto"/>
            <w:vMerge/>
          </w:tcPr>
          <w:p w:rsidRPr="00ED22E1" w:rsidR="00777D08" w:rsidRDefault="00777D08" w14:paraId="3C7910CC" w14:textId="77777777">
            <w:pPr>
              <w:rPr>
                <w:highlight w:val="lightGray"/>
              </w:rPr>
            </w:pPr>
          </w:p>
        </w:tc>
        <w:tc>
          <w:tcPr>
            <w:tcW w:w="0" w:type="auto"/>
          </w:tcPr>
          <w:p w:rsidRPr="00294A23" w:rsidR="00777D08" w:rsidRDefault="00211F76" w14:paraId="0B862493" w14:textId="77777777">
            <w:pPr>
              <w:keepNext/>
              <w:spacing w:before="100" w:after="0"/>
              <w:rPr>
                <w:color w:val="000000"/>
              </w:rPr>
            </w:pPr>
            <w:r w:rsidRPr="00294A23">
              <w:rPr>
                <w:color w:val="000000"/>
              </w:rPr>
              <w:t>Needs Addressed</w:t>
            </w:r>
          </w:p>
        </w:tc>
        <w:tc>
          <w:tcPr>
            <w:tcW w:w="0" w:type="auto"/>
          </w:tcPr>
          <w:p w:rsidRPr="00294A23" w:rsidR="00777D08" w:rsidRDefault="00211F76" w14:paraId="3435D34D" w14:textId="77777777">
            <w:pPr>
              <w:spacing w:before="100" w:after="0"/>
              <w:rPr>
                <w:color w:val="000000"/>
              </w:rPr>
            </w:pPr>
            <w:r w:rsidRPr="004B3D5E">
              <w:rPr>
                <w:color w:val="000000"/>
              </w:rPr>
              <w:t>AFH - Increase Employment/Economic Opportunities</w:t>
            </w:r>
            <w:r w:rsidRPr="004B3D5E">
              <w:rPr>
                <w:color w:val="000000"/>
              </w:rPr>
              <w:br/>
            </w:r>
            <w:r w:rsidRPr="004B3D5E">
              <w:rPr>
                <w:color w:val="000000"/>
              </w:rPr>
              <w:t>AFH - Increase Educational Opportunities</w:t>
            </w:r>
            <w:r w:rsidRPr="004B3D5E">
              <w:rPr>
                <w:color w:val="000000"/>
              </w:rPr>
              <w:br/>
            </w:r>
            <w:r w:rsidRPr="004B3D5E">
              <w:rPr>
                <w:color w:val="000000"/>
              </w:rPr>
              <w:t>Provide Public Services to At Risk Population</w:t>
            </w:r>
          </w:p>
        </w:tc>
      </w:tr>
      <w:tr w:rsidRPr="00ED22E1" w:rsidR="00777D08" w14:paraId="249922CA" w14:textId="77777777">
        <w:trPr>
          <w:cantSplit/>
        </w:trPr>
        <w:tc>
          <w:tcPr>
            <w:tcW w:w="0" w:type="auto"/>
            <w:vMerge/>
          </w:tcPr>
          <w:p w:rsidRPr="00ED22E1" w:rsidR="00777D08" w:rsidRDefault="00777D08" w14:paraId="36E98016" w14:textId="77777777">
            <w:pPr>
              <w:rPr>
                <w:highlight w:val="lightGray"/>
              </w:rPr>
            </w:pPr>
          </w:p>
        </w:tc>
        <w:tc>
          <w:tcPr>
            <w:tcW w:w="0" w:type="auto"/>
          </w:tcPr>
          <w:p w:rsidRPr="00294A23" w:rsidR="00777D08" w:rsidRDefault="00211F76" w14:paraId="36E389F5" w14:textId="77777777">
            <w:pPr>
              <w:keepNext/>
              <w:spacing w:before="100" w:after="0"/>
              <w:rPr>
                <w:color w:val="000000"/>
              </w:rPr>
            </w:pPr>
            <w:r w:rsidRPr="00294A23">
              <w:rPr>
                <w:color w:val="000000"/>
              </w:rPr>
              <w:t>Funding</w:t>
            </w:r>
          </w:p>
        </w:tc>
        <w:tc>
          <w:tcPr>
            <w:tcW w:w="0" w:type="auto"/>
          </w:tcPr>
          <w:p w:rsidRPr="00294A23" w:rsidR="00777D08" w:rsidRDefault="00DA56F8" w14:paraId="52305E29" w14:textId="7182423C">
            <w:pPr>
              <w:spacing w:before="100" w:after="0"/>
              <w:rPr>
                <w:color w:val="000000"/>
              </w:rPr>
            </w:pPr>
            <w:r w:rsidRPr="004B3D5E">
              <w:rPr>
                <w:color w:val="000000"/>
              </w:rPr>
              <w:t xml:space="preserve">CDBG: </w:t>
            </w:r>
            <w:r w:rsidRPr="00294A23">
              <w:rPr>
                <w:color w:val="000000"/>
              </w:rPr>
              <w:t>$</w:t>
            </w:r>
            <w:r w:rsidRPr="00294A23" w:rsidR="00FC6203">
              <w:rPr>
                <w:color w:val="000000"/>
              </w:rPr>
              <w:t>48,164</w:t>
            </w:r>
          </w:p>
        </w:tc>
      </w:tr>
      <w:tr w:rsidRPr="00ED22E1" w:rsidR="00777D08" w14:paraId="084D1098" w14:textId="77777777">
        <w:trPr>
          <w:cantSplit/>
        </w:trPr>
        <w:tc>
          <w:tcPr>
            <w:tcW w:w="0" w:type="auto"/>
            <w:vMerge/>
          </w:tcPr>
          <w:p w:rsidRPr="00ED22E1" w:rsidR="00777D08" w:rsidRDefault="00777D08" w14:paraId="21D85555" w14:textId="77777777">
            <w:pPr>
              <w:rPr>
                <w:highlight w:val="lightGray"/>
              </w:rPr>
            </w:pPr>
          </w:p>
        </w:tc>
        <w:tc>
          <w:tcPr>
            <w:tcW w:w="0" w:type="auto"/>
          </w:tcPr>
          <w:p w:rsidRPr="00294A23" w:rsidR="00777D08" w:rsidRDefault="00211F76" w14:paraId="034E6F54" w14:textId="77777777">
            <w:pPr>
              <w:keepNext/>
              <w:spacing w:before="100" w:after="0"/>
              <w:rPr>
                <w:color w:val="000000"/>
              </w:rPr>
            </w:pPr>
            <w:r w:rsidRPr="00294A23">
              <w:rPr>
                <w:color w:val="000000"/>
              </w:rPr>
              <w:t>Description</w:t>
            </w:r>
          </w:p>
        </w:tc>
        <w:tc>
          <w:tcPr>
            <w:tcW w:w="0" w:type="auto"/>
          </w:tcPr>
          <w:p w:rsidR="00157EE4" w:rsidRDefault="00211F76" w14:paraId="7C17AD4D" w14:textId="7B04E998">
            <w:pPr>
              <w:spacing w:before="100" w:after="0"/>
              <w:rPr>
                <w:color w:val="000000"/>
              </w:rPr>
            </w:pPr>
            <w:r w:rsidRPr="004B3D5E">
              <w:rPr>
                <w:color w:val="000000"/>
              </w:rPr>
              <w:t xml:space="preserve">To provide services and/or training to enhance economic opportunities for LMI households. </w:t>
            </w:r>
            <w:r w:rsidRPr="00294A23">
              <w:rPr>
                <w:color w:val="000000"/>
              </w:rPr>
              <w:t xml:space="preserve">CDBG funds will </w:t>
            </w:r>
            <w:r w:rsidRPr="00294A23" w:rsidR="00157EE4">
              <w:rPr>
                <w:color w:val="000000"/>
              </w:rPr>
              <w:t>be used to fund:</w:t>
            </w:r>
          </w:p>
          <w:p w:rsidRPr="00294A23" w:rsidR="00157EE4" w:rsidP="00157EE4" w:rsidRDefault="00157EE4" w14:paraId="4DD31C5F" w14:textId="77777777">
            <w:pPr>
              <w:pStyle w:val="ListParagraph"/>
              <w:numPr>
                <w:ilvl w:val="0"/>
                <w:numId w:val="25"/>
              </w:numPr>
              <w:spacing w:before="100" w:after="0"/>
              <w:rPr>
                <w:color w:val="000000"/>
              </w:rPr>
            </w:pPr>
            <w:r w:rsidRPr="00294A23">
              <w:rPr>
                <w:color w:val="000000"/>
              </w:rPr>
              <w:t>T</w:t>
            </w:r>
            <w:r w:rsidRPr="00294A23" w:rsidR="00211F76">
              <w:rPr>
                <w:color w:val="000000"/>
              </w:rPr>
              <w:t>he Volunteer Income Tax Assistance Program</w:t>
            </w:r>
            <w:r w:rsidRPr="00294A23">
              <w:rPr>
                <w:color w:val="000000"/>
              </w:rPr>
              <w:t>, in the amount of $10,000, implemented by CVOEO</w:t>
            </w:r>
            <w:r w:rsidRPr="00294A23" w:rsidR="00211F76">
              <w:rPr>
                <w:color w:val="000000"/>
              </w:rPr>
              <w:t xml:space="preserve"> </w:t>
            </w:r>
          </w:p>
          <w:p w:rsidRPr="00294A23" w:rsidR="00777D08" w:rsidP="00157EE4" w:rsidRDefault="00157EE4" w14:paraId="6217DC22" w14:textId="77777777">
            <w:pPr>
              <w:pStyle w:val="ListParagraph"/>
              <w:numPr>
                <w:ilvl w:val="0"/>
                <w:numId w:val="25"/>
              </w:numPr>
              <w:spacing w:before="100" w:after="0"/>
              <w:rPr>
                <w:color w:val="000000"/>
              </w:rPr>
            </w:pPr>
            <w:r w:rsidRPr="00294A23">
              <w:rPr>
                <w:color w:val="000000"/>
              </w:rPr>
              <w:t xml:space="preserve">The </w:t>
            </w:r>
            <w:proofErr w:type="spellStart"/>
            <w:r w:rsidRPr="00294A23">
              <w:rPr>
                <w:color w:val="000000"/>
              </w:rPr>
              <w:t>YouthBuild</w:t>
            </w:r>
            <w:proofErr w:type="spellEnd"/>
            <w:r w:rsidRPr="00294A23">
              <w:rPr>
                <w:color w:val="000000"/>
              </w:rPr>
              <w:t xml:space="preserve"> Program, in the amount of $20,000 implemented by RESOURCE</w:t>
            </w:r>
          </w:p>
          <w:p w:rsidRPr="00294A23" w:rsidR="00157EE4" w:rsidP="00157EE4" w:rsidRDefault="00157EE4" w14:paraId="7311ADFF" w14:textId="4E40B3BA">
            <w:pPr>
              <w:pStyle w:val="ListParagraph"/>
              <w:numPr>
                <w:ilvl w:val="0"/>
                <w:numId w:val="25"/>
              </w:numPr>
              <w:spacing w:before="100" w:after="0"/>
              <w:rPr>
                <w:color w:val="000000"/>
              </w:rPr>
            </w:pPr>
            <w:r w:rsidRPr="00294A23">
              <w:rPr>
                <w:color w:val="000000"/>
              </w:rPr>
              <w:t>The Preparing Targeted Populations for Construction Jobs, in the amount of $18,164, implemented by CEDO</w:t>
            </w:r>
          </w:p>
        </w:tc>
      </w:tr>
      <w:tr w:rsidRPr="00ED22E1" w:rsidR="00777D08" w14:paraId="2DCA562A" w14:textId="77777777">
        <w:trPr>
          <w:cantSplit/>
        </w:trPr>
        <w:tc>
          <w:tcPr>
            <w:tcW w:w="0" w:type="auto"/>
            <w:vMerge/>
          </w:tcPr>
          <w:p w:rsidRPr="00ED22E1" w:rsidR="00777D08" w:rsidRDefault="00777D08" w14:paraId="0F82527E" w14:textId="77777777">
            <w:pPr>
              <w:rPr>
                <w:highlight w:val="lightGray"/>
              </w:rPr>
            </w:pPr>
          </w:p>
        </w:tc>
        <w:tc>
          <w:tcPr>
            <w:tcW w:w="0" w:type="auto"/>
          </w:tcPr>
          <w:p w:rsidRPr="004B3D5E" w:rsidR="00777D08" w:rsidRDefault="00211F76" w14:paraId="15A352E4" w14:textId="77777777">
            <w:pPr>
              <w:keepNext/>
              <w:spacing w:before="100" w:after="0"/>
              <w:rPr>
                <w:b/>
              </w:rPr>
            </w:pPr>
            <w:r w:rsidRPr="004B3D5E">
              <w:rPr>
                <w:b/>
              </w:rPr>
              <w:t>Target Date</w:t>
            </w:r>
          </w:p>
        </w:tc>
        <w:tc>
          <w:tcPr>
            <w:tcW w:w="0" w:type="auto"/>
          </w:tcPr>
          <w:p w:rsidRPr="004B3D5E" w:rsidR="00777D08" w:rsidRDefault="00211F76" w14:paraId="35AFA143" w14:textId="701C4D39">
            <w:pPr>
              <w:spacing w:before="100" w:after="0"/>
            </w:pPr>
            <w:r w:rsidRPr="004B3D5E">
              <w:rPr>
                <w:color w:val="000000"/>
              </w:rPr>
              <w:t>6/30/202</w:t>
            </w:r>
            <w:r w:rsidRPr="004B3D5E" w:rsidR="00364CC4">
              <w:rPr>
                <w:color w:val="000000"/>
              </w:rPr>
              <w:t>2</w:t>
            </w:r>
          </w:p>
        </w:tc>
      </w:tr>
      <w:tr w:rsidRPr="00ED22E1" w:rsidR="00777D08" w14:paraId="09A14959" w14:textId="77777777">
        <w:trPr>
          <w:cantSplit/>
        </w:trPr>
        <w:tc>
          <w:tcPr>
            <w:tcW w:w="0" w:type="auto"/>
            <w:vMerge/>
          </w:tcPr>
          <w:p w:rsidRPr="00ED22E1" w:rsidR="00777D08" w:rsidRDefault="00777D08" w14:paraId="46586665" w14:textId="77777777">
            <w:pPr>
              <w:rPr>
                <w:highlight w:val="lightGray"/>
              </w:rPr>
            </w:pPr>
          </w:p>
        </w:tc>
        <w:tc>
          <w:tcPr>
            <w:tcW w:w="0" w:type="auto"/>
          </w:tcPr>
          <w:p w:rsidRPr="004B3D5E" w:rsidR="00777D08" w:rsidRDefault="00211F76" w14:paraId="485D0210" w14:textId="77777777">
            <w:pPr>
              <w:keepNext/>
              <w:spacing w:before="100" w:after="0"/>
              <w:rPr>
                <w:rFonts w:asciiTheme="minorHAnsi" w:hAnsiTheme="minorHAnsi"/>
                <w:b/>
              </w:rPr>
            </w:pPr>
            <w:r w:rsidRPr="004B3D5E">
              <w:rPr>
                <w:rStyle w:val="Strong"/>
                <w:rFonts w:asciiTheme="minorHAnsi" w:hAnsiTheme="minorHAnsi"/>
              </w:rPr>
              <w:t>Estimate the number and type of families that will benefit from the proposed activities</w:t>
            </w:r>
          </w:p>
        </w:tc>
        <w:tc>
          <w:tcPr>
            <w:tcW w:w="0" w:type="auto"/>
          </w:tcPr>
          <w:p w:rsidRPr="004B3D5E" w:rsidR="00777D08" w:rsidRDefault="007C34BB" w14:paraId="332503B1" w14:textId="102A321F">
            <w:pPr>
              <w:spacing w:before="100" w:after="0"/>
            </w:pPr>
            <w:r w:rsidRPr="004B3D5E">
              <w:rPr>
                <w:color w:val="000000"/>
              </w:rPr>
              <w:t>600</w:t>
            </w:r>
            <w:r w:rsidRPr="004B3D5E" w:rsidR="00211F76">
              <w:rPr>
                <w:color w:val="000000"/>
              </w:rPr>
              <w:t xml:space="preserve"> LMI households will receive tax preparation assistance. </w:t>
            </w:r>
          </w:p>
          <w:p w:rsidRPr="004B3D5E" w:rsidR="00777D08" w:rsidRDefault="004D6528" w14:paraId="6F916883" w14:textId="7366C635">
            <w:pPr>
              <w:spacing w:before="100" w:after="0"/>
              <w:rPr>
                <w:color w:val="000000"/>
              </w:rPr>
            </w:pPr>
            <w:r w:rsidRPr="004B3D5E">
              <w:rPr>
                <w:color w:val="000000"/>
              </w:rPr>
              <w:t>5</w:t>
            </w:r>
            <w:r w:rsidRPr="004B3D5E" w:rsidR="00211F76">
              <w:rPr>
                <w:color w:val="000000"/>
              </w:rPr>
              <w:t xml:space="preserve"> persons will receive job training in construction</w:t>
            </w:r>
            <w:r w:rsidRPr="004B3D5E" w:rsidR="004B3D5E">
              <w:rPr>
                <w:color w:val="000000"/>
              </w:rPr>
              <w:t xml:space="preserve"> </w:t>
            </w:r>
          </w:p>
          <w:p w:rsidRPr="004B3D5E" w:rsidR="004D6528" w:rsidRDefault="004D6528" w14:paraId="2E0B7C03" w14:textId="6B2B50E2">
            <w:pPr>
              <w:spacing w:before="100" w:after="0"/>
            </w:pPr>
            <w:r w:rsidRPr="004B3D5E">
              <w:t>6 persons</w:t>
            </w:r>
            <w:r w:rsidRPr="004B3D5E" w:rsidR="004B3D5E">
              <w:t xml:space="preserve"> will receive youth job training in construction</w:t>
            </w:r>
          </w:p>
        </w:tc>
      </w:tr>
      <w:tr w:rsidRPr="00ED22E1" w:rsidR="00777D08" w14:paraId="69E6AE40" w14:textId="77777777">
        <w:trPr>
          <w:cantSplit/>
        </w:trPr>
        <w:tc>
          <w:tcPr>
            <w:tcW w:w="0" w:type="auto"/>
            <w:vMerge/>
          </w:tcPr>
          <w:p w:rsidRPr="00ED22E1" w:rsidR="00777D08" w:rsidRDefault="00777D08" w14:paraId="0B878F09" w14:textId="77777777">
            <w:pPr>
              <w:rPr>
                <w:highlight w:val="lightGray"/>
              </w:rPr>
            </w:pPr>
          </w:p>
        </w:tc>
        <w:tc>
          <w:tcPr>
            <w:tcW w:w="0" w:type="auto"/>
          </w:tcPr>
          <w:p w:rsidRPr="004B3D5E" w:rsidR="00777D08" w:rsidRDefault="00211F76" w14:paraId="6A870C7B" w14:textId="77777777">
            <w:pPr>
              <w:keepNext/>
              <w:spacing w:before="100" w:after="0"/>
              <w:rPr>
                <w:rFonts w:asciiTheme="minorHAnsi" w:hAnsiTheme="minorHAnsi"/>
                <w:b/>
              </w:rPr>
            </w:pPr>
            <w:r w:rsidRPr="004B3D5E">
              <w:rPr>
                <w:rStyle w:val="Strong"/>
                <w:rFonts w:asciiTheme="minorHAnsi" w:hAnsiTheme="minorHAnsi"/>
              </w:rPr>
              <w:t>Location Description</w:t>
            </w:r>
          </w:p>
        </w:tc>
        <w:tc>
          <w:tcPr>
            <w:tcW w:w="0" w:type="auto"/>
          </w:tcPr>
          <w:p w:rsidRPr="004B3D5E" w:rsidR="00777D08" w:rsidRDefault="00B012A7" w14:paraId="5EE91C0D" w14:textId="77777777">
            <w:pPr>
              <w:spacing w:before="100" w:after="0"/>
              <w:rPr>
                <w:color w:val="000000"/>
              </w:rPr>
            </w:pPr>
            <w:r w:rsidRPr="004B3D5E">
              <w:rPr>
                <w:color w:val="000000"/>
              </w:rPr>
              <w:t>NEIGHBORHOOD REVITALIZATION STRATEGY AREA</w:t>
            </w:r>
          </w:p>
          <w:p w:rsidRPr="004B3D5E" w:rsidR="004D6528" w:rsidRDefault="004D6528" w14:paraId="59F6BE12" w14:textId="08192CBF">
            <w:pPr>
              <w:spacing w:before="100" w:after="0"/>
            </w:pPr>
            <w:r w:rsidRPr="004B3D5E">
              <w:t>City Wide</w:t>
            </w:r>
          </w:p>
        </w:tc>
      </w:tr>
      <w:tr w:rsidRPr="00ED22E1" w:rsidR="00777D08" w14:paraId="10CFCC29" w14:textId="77777777">
        <w:trPr>
          <w:cantSplit/>
        </w:trPr>
        <w:tc>
          <w:tcPr>
            <w:tcW w:w="0" w:type="auto"/>
            <w:vMerge/>
          </w:tcPr>
          <w:p w:rsidRPr="00ED22E1" w:rsidR="00777D08" w:rsidRDefault="00777D08" w14:paraId="51B7B4CD" w14:textId="77777777">
            <w:pPr>
              <w:rPr>
                <w:highlight w:val="lightGray"/>
              </w:rPr>
            </w:pPr>
          </w:p>
        </w:tc>
        <w:tc>
          <w:tcPr>
            <w:tcW w:w="0" w:type="auto"/>
          </w:tcPr>
          <w:p w:rsidRPr="004B3D5E" w:rsidR="00777D08" w:rsidRDefault="00211F76" w14:paraId="0F9FF75D" w14:textId="77777777">
            <w:pPr>
              <w:keepNext/>
              <w:spacing w:before="100" w:after="0"/>
              <w:rPr>
                <w:rFonts w:asciiTheme="minorHAnsi" w:hAnsiTheme="minorHAnsi"/>
                <w:b/>
              </w:rPr>
            </w:pPr>
            <w:r w:rsidRPr="004B3D5E">
              <w:rPr>
                <w:rStyle w:val="Strong"/>
                <w:rFonts w:asciiTheme="minorHAnsi" w:hAnsiTheme="minorHAnsi"/>
              </w:rPr>
              <w:t>Planned Activities</w:t>
            </w:r>
          </w:p>
        </w:tc>
        <w:tc>
          <w:tcPr>
            <w:tcW w:w="0" w:type="auto"/>
          </w:tcPr>
          <w:p w:rsidRPr="004B3D5E" w:rsidR="00777D08" w:rsidRDefault="00211F76" w14:paraId="06E16AED" w14:textId="4D1A5304">
            <w:pPr>
              <w:spacing w:before="100" w:after="0"/>
            </w:pPr>
            <w:r w:rsidRPr="004B3D5E">
              <w:rPr>
                <w:color w:val="000000"/>
              </w:rPr>
              <w:t>Provide job training program</w:t>
            </w:r>
            <w:r w:rsidRPr="004B3D5E" w:rsidR="004B3D5E">
              <w:rPr>
                <w:color w:val="000000"/>
              </w:rPr>
              <w:t>s</w:t>
            </w:r>
            <w:r w:rsidRPr="004B3D5E">
              <w:rPr>
                <w:color w:val="000000"/>
              </w:rPr>
              <w:t xml:space="preserve"> and income tax preparation assistance. </w:t>
            </w:r>
          </w:p>
        </w:tc>
      </w:tr>
      <w:tr w:rsidRPr="00ED22E1" w:rsidR="00777D08" w14:paraId="1D459839" w14:textId="77777777">
        <w:trPr>
          <w:cantSplit/>
        </w:trPr>
        <w:tc>
          <w:tcPr>
            <w:tcW w:w="0" w:type="auto"/>
            <w:vMerge w:val="restart"/>
          </w:tcPr>
          <w:p w:rsidRPr="00AE284E" w:rsidR="00777D08" w:rsidRDefault="00AF5F64" w14:paraId="0ED7EE01" w14:textId="2984BCB3">
            <w:r w:rsidRPr="00AE284E">
              <w:rPr>
                <w:b/>
              </w:rPr>
              <w:t>8</w:t>
            </w:r>
          </w:p>
        </w:tc>
        <w:tc>
          <w:tcPr>
            <w:tcW w:w="0" w:type="auto"/>
          </w:tcPr>
          <w:p w:rsidRPr="00AE284E" w:rsidR="00777D08" w:rsidRDefault="00211F76" w14:paraId="0CD25D2E" w14:textId="77777777">
            <w:pPr>
              <w:keepNext/>
              <w:spacing w:before="100" w:after="0"/>
              <w:rPr>
                <w:b/>
              </w:rPr>
            </w:pPr>
            <w:r w:rsidRPr="00AE284E">
              <w:rPr>
                <w:b/>
              </w:rPr>
              <w:t>Project Name</w:t>
            </w:r>
          </w:p>
        </w:tc>
        <w:tc>
          <w:tcPr>
            <w:tcW w:w="0" w:type="auto"/>
          </w:tcPr>
          <w:p w:rsidRPr="00AE284E" w:rsidR="00777D08" w:rsidRDefault="00211F76" w14:paraId="7D4D65C1" w14:textId="2587DCAC">
            <w:pPr>
              <w:spacing w:before="100" w:after="0"/>
            </w:pPr>
            <w:r w:rsidRPr="00AE284E">
              <w:rPr>
                <w:color w:val="000000"/>
              </w:rPr>
              <w:t>Childcare &amp; Early Childhood Education</w:t>
            </w:r>
          </w:p>
        </w:tc>
      </w:tr>
      <w:tr w:rsidRPr="00ED22E1" w:rsidR="00777D08" w14:paraId="33A86FF0" w14:textId="77777777">
        <w:trPr>
          <w:cantSplit/>
        </w:trPr>
        <w:tc>
          <w:tcPr>
            <w:tcW w:w="0" w:type="auto"/>
            <w:vMerge/>
          </w:tcPr>
          <w:p w:rsidRPr="00AE284E" w:rsidR="00777D08" w:rsidRDefault="00777D08" w14:paraId="11ED86F8" w14:textId="77777777"/>
        </w:tc>
        <w:tc>
          <w:tcPr>
            <w:tcW w:w="0" w:type="auto"/>
          </w:tcPr>
          <w:p w:rsidRPr="00AE284E" w:rsidR="00777D08" w:rsidRDefault="00211F76" w14:paraId="605F9DC7" w14:textId="77777777">
            <w:pPr>
              <w:keepNext/>
              <w:spacing w:before="100" w:after="0"/>
              <w:rPr>
                <w:b/>
              </w:rPr>
            </w:pPr>
            <w:r w:rsidRPr="00AE284E">
              <w:rPr>
                <w:b/>
              </w:rPr>
              <w:t>Target Area</w:t>
            </w:r>
          </w:p>
        </w:tc>
        <w:tc>
          <w:tcPr>
            <w:tcW w:w="0" w:type="auto"/>
          </w:tcPr>
          <w:p w:rsidRPr="00AE284E" w:rsidR="00777D08" w:rsidRDefault="00211F76" w14:paraId="2C9B627C" w14:textId="77777777">
            <w:pPr>
              <w:spacing w:before="100" w:after="0"/>
              <w:rPr>
                <w:color w:val="000000"/>
              </w:rPr>
            </w:pPr>
            <w:r w:rsidRPr="00AE284E">
              <w:rPr>
                <w:color w:val="000000"/>
              </w:rPr>
              <w:t>NEIGHBORHOOD REVITALIZATION STRATEGY AREA</w:t>
            </w:r>
          </w:p>
          <w:p w:rsidRPr="00AE284E" w:rsidR="00C803D8" w:rsidRDefault="00C803D8" w14:paraId="4F34B249" w14:textId="1E9CB3C6">
            <w:pPr>
              <w:spacing w:before="100" w:after="0"/>
            </w:pPr>
            <w:r w:rsidRPr="00AE284E">
              <w:rPr>
                <w:color w:val="000000"/>
              </w:rPr>
              <w:t>City Wide</w:t>
            </w:r>
          </w:p>
        </w:tc>
      </w:tr>
      <w:tr w:rsidRPr="00ED22E1" w:rsidR="00777D08" w14:paraId="661AAF1C" w14:textId="77777777">
        <w:trPr>
          <w:cantSplit/>
        </w:trPr>
        <w:tc>
          <w:tcPr>
            <w:tcW w:w="0" w:type="auto"/>
            <w:vMerge/>
          </w:tcPr>
          <w:p w:rsidRPr="00AE284E" w:rsidR="00777D08" w:rsidRDefault="00777D08" w14:paraId="5FDB26B9" w14:textId="77777777"/>
        </w:tc>
        <w:tc>
          <w:tcPr>
            <w:tcW w:w="0" w:type="auto"/>
          </w:tcPr>
          <w:p w:rsidRPr="00AE284E" w:rsidR="00777D08" w:rsidRDefault="00211F76" w14:paraId="75696D8E" w14:textId="77777777">
            <w:pPr>
              <w:keepNext/>
              <w:spacing w:before="100" w:after="0"/>
              <w:rPr>
                <w:b/>
              </w:rPr>
            </w:pPr>
            <w:r w:rsidRPr="00AE284E">
              <w:rPr>
                <w:b/>
              </w:rPr>
              <w:t>Goals Supported</w:t>
            </w:r>
          </w:p>
        </w:tc>
        <w:tc>
          <w:tcPr>
            <w:tcW w:w="0" w:type="auto"/>
          </w:tcPr>
          <w:p w:rsidRPr="00AE284E" w:rsidR="00777D08" w:rsidRDefault="00211F76" w14:paraId="689CE56F" w14:textId="77777777">
            <w:pPr>
              <w:spacing w:before="100" w:after="0"/>
            </w:pPr>
            <w:r w:rsidRPr="00AE284E">
              <w:rPr>
                <w:color w:val="000000"/>
              </w:rPr>
              <w:t>EO 1.3 Reduce Economic Barriers - Early Childhood</w:t>
            </w:r>
          </w:p>
        </w:tc>
      </w:tr>
      <w:tr w:rsidRPr="00ED22E1" w:rsidR="00777D08" w14:paraId="0E5D7396" w14:textId="77777777">
        <w:trPr>
          <w:cantSplit/>
        </w:trPr>
        <w:tc>
          <w:tcPr>
            <w:tcW w:w="0" w:type="auto"/>
            <w:vMerge/>
          </w:tcPr>
          <w:p w:rsidRPr="00AE284E" w:rsidR="00777D08" w:rsidRDefault="00777D08" w14:paraId="28BCB292" w14:textId="77777777"/>
        </w:tc>
        <w:tc>
          <w:tcPr>
            <w:tcW w:w="0" w:type="auto"/>
          </w:tcPr>
          <w:p w:rsidRPr="00AE284E" w:rsidR="00777D08" w:rsidRDefault="00211F76" w14:paraId="6A1B4601" w14:textId="77777777">
            <w:pPr>
              <w:keepNext/>
              <w:spacing w:before="100" w:after="0"/>
              <w:rPr>
                <w:b/>
              </w:rPr>
            </w:pPr>
            <w:r w:rsidRPr="00AE284E">
              <w:rPr>
                <w:b/>
              </w:rPr>
              <w:t>Needs Addressed</w:t>
            </w:r>
          </w:p>
        </w:tc>
        <w:tc>
          <w:tcPr>
            <w:tcW w:w="0" w:type="auto"/>
          </w:tcPr>
          <w:p w:rsidRPr="00AE284E" w:rsidR="00777D08" w:rsidRDefault="00211F76" w14:paraId="335992B2" w14:textId="77777777">
            <w:pPr>
              <w:spacing w:before="100" w:after="0"/>
            </w:pPr>
            <w:r w:rsidRPr="00AE284E">
              <w:rPr>
                <w:color w:val="000000"/>
              </w:rPr>
              <w:t>AFH - Increase Educational Opportunities</w:t>
            </w:r>
            <w:r w:rsidRPr="00AE284E">
              <w:rPr>
                <w:color w:val="000000"/>
              </w:rPr>
              <w:br/>
            </w:r>
            <w:r w:rsidRPr="00AE284E">
              <w:rPr>
                <w:color w:val="000000"/>
              </w:rPr>
              <w:t>Provide Public Services to At Risk Population</w:t>
            </w:r>
          </w:p>
        </w:tc>
      </w:tr>
      <w:tr w:rsidRPr="00ED22E1" w:rsidR="00EA1DA6" w14:paraId="69F67294" w14:textId="77777777">
        <w:trPr>
          <w:cantSplit/>
        </w:trPr>
        <w:tc>
          <w:tcPr>
            <w:tcW w:w="0" w:type="auto"/>
            <w:vMerge/>
          </w:tcPr>
          <w:p w:rsidRPr="00AE284E" w:rsidR="00EA1DA6" w:rsidP="00EA1DA6" w:rsidRDefault="00EA1DA6" w14:paraId="3227E875" w14:textId="77777777"/>
        </w:tc>
        <w:tc>
          <w:tcPr>
            <w:tcW w:w="0" w:type="auto"/>
          </w:tcPr>
          <w:p w:rsidRPr="00AE284E" w:rsidR="00EA1DA6" w:rsidP="00EA1DA6" w:rsidRDefault="00EA1DA6" w14:paraId="400D955D" w14:textId="77777777">
            <w:pPr>
              <w:keepNext/>
              <w:spacing w:before="100" w:after="0"/>
              <w:rPr>
                <w:b/>
              </w:rPr>
            </w:pPr>
            <w:r w:rsidRPr="00AE284E">
              <w:rPr>
                <w:b/>
              </w:rPr>
              <w:t>Funding</w:t>
            </w:r>
          </w:p>
        </w:tc>
        <w:tc>
          <w:tcPr>
            <w:tcW w:w="0" w:type="auto"/>
          </w:tcPr>
          <w:p w:rsidRPr="00AE284E" w:rsidR="00EA1DA6" w:rsidP="00EA1DA6" w:rsidRDefault="00AE284E" w14:paraId="6427E7DA" w14:textId="5A3F7CF1">
            <w:pPr>
              <w:spacing w:before="100" w:after="0"/>
            </w:pPr>
            <w:r w:rsidRPr="00AE284E">
              <w:rPr>
                <w:color w:val="000000"/>
              </w:rPr>
              <w:t>CDBG: $0</w:t>
            </w:r>
          </w:p>
        </w:tc>
      </w:tr>
      <w:tr w:rsidRPr="00ED22E1" w:rsidR="00777D08" w14:paraId="0895FF98" w14:textId="77777777">
        <w:trPr>
          <w:cantSplit/>
        </w:trPr>
        <w:tc>
          <w:tcPr>
            <w:tcW w:w="0" w:type="auto"/>
            <w:vMerge/>
          </w:tcPr>
          <w:p w:rsidRPr="00ED22E1" w:rsidR="00777D08" w:rsidRDefault="00777D08" w14:paraId="2E96968C" w14:textId="77777777">
            <w:pPr>
              <w:rPr>
                <w:highlight w:val="lightGray"/>
              </w:rPr>
            </w:pPr>
          </w:p>
        </w:tc>
        <w:tc>
          <w:tcPr>
            <w:tcW w:w="0" w:type="auto"/>
          </w:tcPr>
          <w:p w:rsidRPr="00ED22E1" w:rsidR="00777D08" w:rsidRDefault="00211F76" w14:paraId="621A3939" w14:textId="77777777">
            <w:pPr>
              <w:keepNext/>
              <w:spacing w:before="100" w:after="0"/>
              <w:rPr>
                <w:b/>
                <w:highlight w:val="lightGray"/>
              </w:rPr>
            </w:pPr>
            <w:r w:rsidRPr="00AE284E">
              <w:rPr>
                <w:b/>
              </w:rPr>
              <w:t>Description</w:t>
            </w:r>
          </w:p>
        </w:tc>
        <w:tc>
          <w:tcPr>
            <w:tcW w:w="0" w:type="auto"/>
          </w:tcPr>
          <w:p w:rsidRPr="00ED22E1" w:rsidR="00777D08" w:rsidRDefault="00AE284E" w14:paraId="23121AAC" w14:textId="79480E6C">
            <w:pPr>
              <w:spacing w:before="100" w:after="0"/>
              <w:rPr>
                <w:highlight w:val="lightGray"/>
              </w:rPr>
            </w:pPr>
            <w:r w:rsidRPr="001D0567">
              <w:rPr>
                <w:color w:val="000000"/>
              </w:rPr>
              <w:t>During this Action Plan, no new awards were made.</w:t>
            </w:r>
          </w:p>
        </w:tc>
      </w:tr>
      <w:tr w:rsidRPr="00ED22E1" w:rsidR="00777D08" w14:paraId="47093728" w14:textId="77777777">
        <w:trPr>
          <w:cantSplit/>
        </w:trPr>
        <w:tc>
          <w:tcPr>
            <w:tcW w:w="0" w:type="auto"/>
            <w:vMerge/>
          </w:tcPr>
          <w:p w:rsidRPr="00ED22E1" w:rsidR="00777D08" w:rsidRDefault="00777D08" w14:paraId="7D7B2C27" w14:textId="77777777">
            <w:pPr>
              <w:rPr>
                <w:highlight w:val="lightGray"/>
              </w:rPr>
            </w:pPr>
          </w:p>
        </w:tc>
        <w:tc>
          <w:tcPr>
            <w:tcW w:w="0" w:type="auto"/>
          </w:tcPr>
          <w:p w:rsidRPr="00AE284E" w:rsidR="00777D08" w:rsidRDefault="00211F76" w14:paraId="7959CE5F" w14:textId="77777777">
            <w:pPr>
              <w:keepNext/>
              <w:spacing w:before="100" w:after="0"/>
              <w:rPr>
                <w:b/>
              </w:rPr>
            </w:pPr>
            <w:r w:rsidRPr="00AE284E">
              <w:rPr>
                <w:b/>
              </w:rPr>
              <w:t>Target Date</w:t>
            </w:r>
          </w:p>
        </w:tc>
        <w:tc>
          <w:tcPr>
            <w:tcW w:w="0" w:type="auto"/>
          </w:tcPr>
          <w:p w:rsidRPr="00AE284E" w:rsidR="00777D08" w:rsidRDefault="00211F76" w14:paraId="054F1C9C" w14:textId="61694960">
            <w:pPr>
              <w:spacing w:before="100" w:after="0"/>
            </w:pPr>
            <w:r w:rsidRPr="00AE284E">
              <w:rPr>
                <w:color w:val="000000"/>
              </w:rPr>
              <w:t>6/30/202</w:t>
            </w:r>
            <w:r w:rsidRPr="00AE284E" w:rsidR="00AE284E">
              <w:rPr>
                <w:color w:val="000000"/>
              </w:rPr>
              <w:t>2</w:t>
            </w:r>
          </w:p>
        </w:tc>
      </w:tr>
      <w:tr w:rsidRPr="00ED22E1" w:rsidR="00777D08" w14:paraId="02251BC1" w14:textId="77777777">
        <w:trPr>
          <w:cantSplit/>
        </w:trPr>
        <w:tc>
          <w:tcPr>
            <w:tcW w:w="0" w:type="auto"/>
            <w:vMerge/>
          </w:tcPr>
          <w:p w:rsidRPr="00ED22E1" w:rsidR="00777D08" w:rsidRDefault="00777D08" w14:paraId="4795D2FF" w14:textId="77777777">
            <w:pPr>
              <w:rPr>
                <w:highlight w:val="lightGray"/>
              </w:rPr>
            </w:pPr>
          </w:p>
        </w:tc>
        <w:tc>
          <w:tcPr>
            <w:tcW w:w="0" w:type="auto"/>
          </w:tcPr>
          <w:p w:rsidRPr="00AE284E" w:rsidR="00777D08" w:rsidRDefault="00211F76" w14:paraId="59CC55D4" w14:textId="77777777">
            <w:pPr>
              <w:keepNext/>
              <w:spacing w:before="100" w:after="0"/>
              <w:rPr>
                <w:rFonts w:asciiTheme="minorHAnsi" w:hAnsiTheme="minorHAnsi"/>
                <w:b/>
              </w:rPr>
            </w:pPr>
            <w:r w:rsidRPr="00AE284E">
              <w:rPr>
                <w:rStyle w:val="Strong"/>
                <w:rFonts w:asciiTheme="minorHAnsi" w:hAnsiTheme="minorHAnsi"/>
              </w:rPr>
              <w:t>Estimate the number and type of families that will benefit from the proposed activities</w:t>
            </w:r>
          </w:p>
        </w:tc>
        <w:tc>
          <w:tcPr>
            <w:tcW w:w="0" w:type="auto"/>
          </w:tcPr>
          <w:p w:rsidRPr="00ED22E1" w:rsidR="00777D08" w:rsidRDefault="00AE284E" w14:paraId="09DD196D" w14:textId="20F1E3EE">
            <w:pPr>
              <w:spacing w:before="100" w:after="0"/>
              <w:rPr>
                <w:highlight w:val="lightGray"/>
              </w:rPr>
            </w:pPr>
            <w:r w:rsidRPr="001D0567">
              <w:rPr>
                <w:color w:val="000000"/>
              </w:rPr>
              <w:t>No new activities</w:t>
            </w:r>
            <w:r>
              <w:rPr>
                <w:color w:val="000000"/>
              </w:rPr>
              <w:t xml:space="preserve"> for this Action Plan.</w:t>
            </w:r>
          </w:p>
        </w:tc>
      </w:tr>
      <w:tr w:rsidRPr="00ED22E1" w:rsidR="00777D08" w14:paraId="59C7A2ED" w14:textId="77777777">
        <w:trPr>
          <w:cantSplit/>
        </w:trPr>
        <w:tc>
          <w:tcPr>
            <w:tcW w:w="0" w:type="auto"/>
            <w:vMerge/>
          </w:tcPr>
          <w:p w:rsidRPr="00ED22E1" w:rsidR="00777D08" w:rsidRDefault="00777D08" w14:paraId="64A67495" w14:textId="77777777">
            <w:pPr>
              <w:rPr>
                <w:highlight w:val="lightGray"/>
              </w:rPr>
            </w:pPr>
          </w:p>
        </w:tc>
        <w:tc>
          <w:tcPr>
            <w:tcW w:w="0" w:type="auto"/>
          </w:tcPr>
          <w:p w:rsidRPr="00AE284E" w:rsidR="00777D08" w:rsidRDefault="00211F76" w14:paraId="60D35E2F" w14:textId="77777777">
            <w:pPr>
              <w:keepNext/>
              <w:spacing w:before="100" w:after="0"/>
              <w:rPr>
                <w:rFonts w:asciiTheme="minorHAnsi" w:hAnsiTheme="minorHAnsi"/>
                <w:b/>
              </w:rPr>
            </w:pPr>
            <w:r w:rsidRPr="00AE284E">
              <w:rPr>
                <w:rStyle w:val="Strong"/>
                <w:rFonts w:asciiTheme="minorHAnsi" w:hAnsiTheme="minorHAnsi"/>
              </w:rPr>
              <w:t>Location Description</w:t>
            </w:r>
          </w:p>
        </w:tc>
        <w:tc>
          <w:tcPr>
            <w:tcW w:w="0" w:type="auto"/>
          </w:tcPr>
          <w:p w:rsidRPr="00AE284E" w:rsidR="00AE284E" w:rsidP="00AE284E" w:rsidRDefault="00AE284E" w14:paraId="4EAF68BD" w14:textId="77777777">
            <w:pPr>
              <w:spacing w:before="100" w:after="0"/>
              <w:rPr>
                <w:color w:val="000000"/>
              </w:rPr>
            </w:pPr>
            <w:r w:rsidRPr="00AE284E">
              <w:rPr>
                <w:color w:val="000000"/>
              </w:rPr>
              <w:t>NEIGHBORHOOD REVITALIZATION STRATEGY AREA</w:t>
            </w:r>
          </w:p>
          <w:p w:rsidRPr="00ED22E1" w:rsidR="00777D08" w:rsidP="00AE284E" w:rsidRDefault="00AE284E" w14:paraId="1993E512" w14:textId="3A520595">
            <w:pPr>
              <w:spacing w:before="100" w:after="0"/>
              <w:rPr>
                <w:highlight w:val="lightGray"/>
              </w:rPr>
            </w:pPr>
            <w:r w:rsidRPr="00AE284E">
              <w:rPr>
                <w:color w:val="000000"/>
              </w:rPr>
              <w:t>City Wide</w:t>
            </w:r>
          </w:p>
        </w:tc>
      </w:tr>
      <w:tr w:rsidRPr="00ED22E1" w:rsidR="00777D08" w14:paraId="1A6EF8B6" w14:textId="77777777">
        <w:trPr>
          <w:cantSplit/>
        </w:trPr>
        <w:tc>
          <w:tcPr>
            <w:tcW w:w="0" w:type="auto"/>
            <w:vMerge/>
          </w:tcPr>
          <w:p w:rsidRPr="00ED22E1" w:rsidR="00777D08" w:rsidRDefault="00777D08" w14:paraId="5AC25190" w14:textId="77777777">
            <w:pPr>
              <w:rPr>
                <w:highlight w:val="lightGray"/>
              </w:rPr>
            </w:pPr>
          </w:p>
        </w:tc>
        <w:tc>
          <w:tcPr>
            <w:tcW w:w="0" w:type="auto"/>
          </w:tcPr>
          <w:p w:rsidRPr="00AE284E" w:rsidR="00777D08" w:rsidRDefault="00211F76" w14:paraId="6BBFD7A1" w14:textId="77777777">
            <w:pPr>
              <w:keepNext/>
              <w:spacing w:before="100" w:after="0"/>
              <w:rPr>
                <w:rFonts w:asciiTheme="minorHAnsi" w:hAnsiTheme="minorHAnsi"/>
                <w:b/>
              </w:rPr>
            </w:pPr>
            <w:r w:rsidRPr="00AE284E">
              <w:rPr>
                <w:rStyle w:val="Strong"/>
                <w:rFonts w:asciiTheme="minorHAnsi" w:hAnsiTheme="minorHAnsi"/>
              </w:rPr>
              <w:t>Planned Activities</w:t>
            </w:r>
          </w:p>
        </w:tc>
        <w:tc>
          <w:tcPr>
            <w:tcW w:w="0" w:type="auto"/>
          </w:tcPr>
          <w:p w:rsidRPr="00ED22E1" w:rsidR="00777D08" w:rsidRDefault="00AE284E" w14:paraId="39C01EEB" w14:textId="7A493EE4">
            <w:pPr>
              <w:spacing w:before="100" w:after="0"/>
              <w:rPr>
                <w:highlight w:val="lightGray"/>
              </w:rPr>
            </w:pPr>
            <w:r w:rsidRPr="001D0567">
              <w:rPr>
                <w:color w:val="000000"/>
              </w:rPr>
              <w:t>No new activities</w:t>
            </w:r>
            <w:r>
              <w:rPr>
                <w:color w:val="000000"/>
              </w:rPr>
              <w:t xml:space="preserve"> for this Action Plan.</w:t>
            </w:r>
          </w:p>
        </w:tc>
      </w:tr>
      <w:tr w:rsidRPr="00ED22E1" w:rsidR="00777D08" w14:paraId="70B3AF29" w14:textId="77777777">
        <w:trPr>
          <w:cantSplit/>
        </w:trPr>
        <w:tc>
          <w:tcPr>
            <w:tcW w:w="0" w:type="auto"/>
            <w:vMerge w:val="restart"/>
          </w:tcPr>
          <w:p w:rsidRPr="00ED22E1" w:rsidR="00777D08" w:rsidRDefault="00AF5F64" w14:paraId="2E4821B4" w14:textId="0D27C09A">
            <w:pPr>
              <w:rPr>
                <w:highlight w:val="lightGray"/>
              </w:rPr>
            </w:pPr>
            <w:r w:rsidRPr="00AE284E">
              <w:rPr>
                <w:b/>
              </w:rPr>
              <w:t>9</w:t>
            </w:r>
          </w:p>
        </w:tc>
        <w:tc>
          <w:tcPr>
            <w:tcW w:w="0" w:type="auto"/>
          </w:tcPr>
          <w:p w:rsidRPr="00A32EF5" w:rsidR="00777D08" w:rsidRDefault="00211F76" w14:paraId="2041CA16" w14:textId="77777777">
            <w:pPr>
              <w:keepNext/>
              <w:spacing w:before="100" w:after="0"/>
              <w:rPr>
                <w:b/>
              </w:rPr>
            </w:pPr>
            <w:r w:rsidRPr="00A32EF5">
              <w:rPr>
                <w:b/>
              </w:rPr>
              <w:t>Project Name</w:t>
            </w:r>
          </w:p>
        </w:tc>
        <w:tc>
          <w:tcPr>
            <w:tcW w:w="0" w:type="auto"/>
          </w:tcPr>
          <w:p w:rsidRPr="00A32EF5" w:rsidR="00777D08" w:rsidRDefault="00211F76" w14:paraId="16F283B7" w14:textId="6829808F">
            <w:pPr>
              <w:spacing w:before="100" w:after="0"/>
            </w:pPr>
            <w:r w:rsidRPr="00A32EF5">
              <w:rPr>
                <w:color w:val="000000"/>
              </w:rPr>
              <w:t>Youth Services</w:t>
            </w:r>
          </w:p>
        </w:tc>
      </w:tr>
      <w:tr w:rsidRPr="00ED22E1" w:rsidR="00777D08" w:rsidTr="00294A23" w14:paraId="6DFE9545" w14:textId="77777777">
        <w:trPr>
          <w:cantSplit/>
          <w:trHeight w:val="566"/>
        </w:trPr>
        <w:tc>
          <w:tcPr>
            <w:tcW w:w="0" w:type="auto"/>
            <w:vMerge/>
          </w:tcPr>
          <w:p w:rsidRPr="00ED22E1" w:rsidR="00777D08" w:rsidRDefault="00777D08" w14:paraId="3853B420" w14:textId="77777777">
            <w:pPr>
              <w:rPr>
                <w:highlight w:val="lightGray"/>
              </w:rPr>
            </w:pPr>
          </w:p>
        </w:tc>
        <w:tc>
          <w:tcPr>
            <w:tcW w:w="0" w:type="auto"/>
          </w:tcPr>
          <w:p w:rsidRPr="00A32EF5" w:rsidR="00777D08" w:rsidRDefault="00211F76" w14:paraId="7E320FC1" w14:textId="77777777">
            <w:pPr>
              <w:keepNext/>
              <w:spacing w:before="100" w:after="0"/>
              <w:rPr>
                <w:b/>
              </w:rPr>
            </w:pPr>
            <w:r w:rsidRPr="00A32EF5">
              <w:rPr>
                <w:b/>
              </w:rPr>
              <w:t>Target Area</w:t>
            </w:r>
          </w:p>
        </w:tc>
        <w:tc>
          <w:tcPr>
            <w:tcW w:w="0" w:type="auto"/>
          </w:tcPr>
          <w:p w:rsidRPr="00A32EF5" w:rsidR="00777D08" w:rsidRDefault="00211F76" w14:paraId="6193610A" w14:textId="77777777">
            <w:pPr>
              <w:spacing w:before="100" w:after="0"/>
            </w:pPr>
            <w:r w:rsidRPr="00A32EF5">
              <w:rPr>
                <w:color w:val="000000"/>
              </w:rPr>
              <w:t>NEIGHBORHOOD REVITALIZATION STRATEGY AREA</w:t>
            </w:r>
          </w:p>
        </w:tc>
      </w:tr>
      <w:tr w:rsidRPr="00ED22E1" w:rsidR="00777D08" w14:paraId="31D7345D" w14:textId="77777777">
        <w:trPr>
          <w:cantSplit/>
        </w:trPr>
        <w:tc>
          <w:tcPr>
            <w:tcW w:w="0" w:type="auto"/>
            <w:vMerge/>
          </w:tcPr>
          <w:p w:rsidRPr="00ED22E1" w:rsidR="00777D08" w:rsidRDefault="00777D08" w14:paraId="5AB173B2" w14:textId="77777777">
            <w:pPr>
              <w:rPr>
                <w:highlight w:val="lightGray"/>
              </w:rPr>
            </w:pPr>
          </w:p>
        </w:tc>
        <w:tc>
          <w:tcPr>
            <w:tcW w:w="0" w:type="auto"/>
          </w:tcPr>
          <w:p w:rsidRPr="00A32EF5" w:rsidR="00777D08" w:rsidRDefault="00211F76" w14:paraId="64B068C6" w14:textId="77777777">
            <w:pPr>
              <w:keepNext/>
              <w:spacing w:before="100" w:after="0"/>
              <w:rPr>
                <w:b/>
              </w:rPr>
            </w:pPr>
            <w:r w:rsidRPr="00A32EF5">
              <w:rPr>
                <w:b/>
              </w:rPr>
              <w:t>Goals Supported</w:t>
            </w:r>
          </w:p>
        </w:tc>
        <w:tc>
          <w:tcPr>
            <w:tcW w:w="0" w:type="auto"/>
          </w:tcPr>
          <w:p w:rsidRPr="00A32EF5" w:rsidR="00777D08" w:rsidRDefault="00211F76" w14:paraId="5EB07075" w14:textId="77777777">
            <w:pPr>
              <w:spacing w:before="100" w:after="0"/>
            </w:pPr>
            <w:r w:rsidRPr="00A32EF5">
              <w:rPr>
                <w:color w:val="000000"/>
              </w:rPr>
              <w:t>SL 1.2 Provide Public Services</w:t>
            </w:r>
          </w:p>
        </w:tc>
      </w:tr>
      <w:tr w:rsidRPr="00ED22E1" w:rsidR="00777D08" w14:paraId="5189A211" w14:textId="77777777">
        <w:trPr>
          <w:cantSplit/>
        </w:trPr>
        <w:tc>
          <w:tcPr>
            <w:tcW w:w="0" w:type="auto"/>
            <w:vMerge/>
          </w:tcPr>
          <w:p w:rsidRPr="00ED22E1" w:rsidR="00777D08" w:rsidRDefault="00777D08" w14:paraId="280090EE" w14:textId="77777777">
            <w:pPr>
              <w:rPr>
                <w:highlight w:val="lightGray"/>
              </w:rPr>
            </w:pPr>
          </w:p>
        </w:tc>
        <w:tc>
          <w:tcPr>
            <w:tcW w:w="0" w:type="auto"/>
          </w:tcPr>
          <w:p w:rsidRPr="00A32EF5" w:rsidR="00777D08" w:rsidRDefault="00211F76" w14:paraId="38C4B654" w14:textId="77777777">
            <w:pPr>
              <w:keepNext/>
              <w:spacing w:before="100" w:after="0"/>
              <w:rPr>
                <w:b/>
              </w:rPr>
            </w:pPr>
            <w:r w:rsidRPr="00A32EF5">
              <w:rPr>
                <w:b/>
              </w:rPr>
              <w:t>Needs Addressed</w:t>
            </w:r>
          </w:p>
        </w:tc>
        <w:tc>
          <w:tcPr>
            <w:tcW w:w="0" w:type="auto"/>
          </w:tcPr>
          <w:p w:rsidRPr="00A32EF5" w:rsidR="00777D08" w:rsidRDefault="00211F76" w14:paraId="6D93935F" w14:textId="77777777">
            <w:pPr>
              <w:spacing w:before="100" w:after="0"/>
            </w:pPr>
            <w:r w:rsidRPr="00A32EF5">
              <w:rPr>
                <w:color w:val="000000"/>
              </w:rPr>
              <w:t>Provide Public Services to At Risk Population</w:t>
            </w:r>
          </w:p>
        </w:tc>
      </w:tr>
      <w:tr w:rsidRPr="00ED22E1" w:rsidR="00E60F12" w14:paraId="7E6B662E" w14:textId="77777777">
        <w:trPr>
          <w:cantSplit/>
        </w:trPr>
        <w:tc>
          <w:tcPr>
            <w:tcW w:w="0" w:type="auto"/>
            <w:vMerge/>
          </w:tcPr>
          <w:p w:rsidRPr="00ED22E1" w:rsidR="00E60F12" w:rsidP="00E60F12" w:rsidRDefault="00E60F12" w14:paraId="281B3813" w14:textId="77777777">
            <w:pPr>
              <w:rPr>
                <w:highlight w:val="lightGray"/>
              </w:rPr>
            </w:pPr>
          </w:p>
        </w:tc>
        <w:tc>
          <w:tcPr>
            <w:tcW w:w="0" w:type="auto"/>
          </w:tcPr>
          <w:p w:rsidRPr="00A32EF5" w:rsidR="00E60F12" w:rsidP="00E60F12" w:rsidRDefault="00E60F12" w14:paraId="3742F8D6" w14:textId="77777777">
            <w:pPr>
              <w:keepNext/>
              <w:spacing w:before="100" w:after="0"/>
              <w:rPr>
                <w:b/>
              </w:rPr>
            </w:pPr>
            <w:r w:rsidRPr="00A32EF5">
              <w:rPr>
                <w:b/>
              </w:rPr>
              <w:t>Funding</w:t>
            </w:r>
          </w:p>
        </w:tc>
        <w:tc>
          <w:tcPr>
            <w:tcW w:w="0" w:type="auto"/>
          </w:tcPr>
          <w:p w:rsidRPr="00294A23" w:rsidR="00E60F12" w:rsidP="00DA56F8" w:rsidRDefault="00DA56F8" w14:paraId="1F50EB9B" w14:textId="31D0E18D">
            <w:pPr>
              <w:spacing w:after="0" w:line="240" w:lineRule="auto"/>
              <w:rPr>
                <w:color w:val="000000"/>
              </w:rPr>
            </w:pPr>
            <w:r w:rsidRPr="00294A23">
              <w:rPr>
                <w:color w:val="000000"/>
              </w:rPr>
              <w:t>CDBG: $50,000</w:t>
            </w:r>
          </w:p>
        </w:tc>
      </w:tr>
      <w:tr w:rsidRPr="00ED22E1" w:rsidR="00E60F12" w14:paraId="0CB959A6" w14:textId="77777777">
        <w:trPr>
          <w:cantSplit/>
        </w:trPr>
        <w:tc>
          <w:tcPr>
            <w:tcW w:w="0" w:type="auto"/>
            <w:vMerge/>
          </w:tcPr>
          <w:p w:rsidRPr="00ED22E1" w:rsidR="00E60F12" w:rsidP="00E60F12" w:rsidRDefault="00E60F12" w14:paraId="793C00D9" w14:textId="77777777">
            <w:pPr>
              <w:rPr>
                <w:highlight w:val="lightGray"/>
              </w:rPr>
            </w:pPr>
          </w:p>
        </w:tc>
        <w:tc>
          <w:tcPr>
            <w:tcW w:w="0" w:type="auto"/>
          </w:tcPr>
          <w:p w:rsidRPr="00A32EF5" w:rsidR="00E60F12" w:rsidP="00E60F12" w:rsidRDefault="00E60F12" w14:paraId="0DF974B4" w14:textId="77777777">
            <w:pPr>
              <w:keepNext/>
              <w:spacing w:before="100" w:after="0"/>
              <w:rPr>
                <w:b/>
              </w:rPr>
            </w:pPr>
            <w:r w:rsidRPr="00A32EF5">
              <w:rPr>
                <w:b/>
              </w:rPr>
              <w:t>Description</w:t>
            </w:r>
          </w:p>
        </w:tc>
        <w:tc>
          <w:tcPr>
            <w:tcW w:w="0" w:type="auto"/>
          </w:tcPr>
          <w:p w:rsidRPr="00294A23" w:rsidR="00E60F12" w:rsidP="00E60F12" w:rsidRDefault="00157EE4" w14:paraId="35FED836" w14:textId="254A8D4E">
            <w:pPr>
              <w:spacing w:before="100" w:after="0"/>
              <w:rPr>
                <w:color w:val="000000"/>
              </w:rPr>
            </w:pPr>
            <w:r>
              <w:rPr>
                <w:color w:val="000000"/>
              </w:rPr>
              <w:t>This funding will p</w:t>
            </w:r>
            <w:r w:rsidRPr="00A32EF5" w:rsidR="00E60F12">
              <w:rPr>
                <w:color w:val="000000"/>
              </w:rPr>
              <w:t>rovide safe educational opportunities for youth outside of school</w:t>
            </w:r>
            <w:r>
              <w:rPr>
                <w:color w:val="000000"/>
              </w:rPr>
              <w:t xml:space="preserve"> </w:t>
            </w:r>
            <w:r w:rsidRPr="00294A23">
              <w:rPr>
                <w:color w:val="000000"/>
              </w:rPr>
              <w:t>through the Elementary Enrichment Program implemented by Sara Holbrook Community Center.</w:t>
            </w:r>
          </w:p>
        </w:tc>
      </w:tr>
      <w:tr w:rsidRPr="00ED22E1" w:rsidR="00E60F12" w14:paraId="07AFF75D" w14:textId="77777777">
        <w:trPr>
          <w:cantSplit/>
        </w:trPr>
        <w:tc>
          <w:tcPr>
            <w:tcW w:w="0" w:type="auto"/>
            <w:vMerge/>
          </w:tcPr>
          <w:p w:rsidRPr="00ED22E1" w:rsidR="00E60F12" w:rsidP="00E60F12" w:rsidRDefault="00E60F12" w14:paraId="3DB0FA77" w14:textId="77777777">
            <w:pPr>
              <w:rPr>
                <w:highlight w:val="lightGray"/>
              </w:rPr>
            </w:pPr>
          </w:p>
        </w:tc>
        <w:tc>
          <w:tcPr>
            <w:tcW w:w="0" w:type="auto"/>
          </w:tcPr>
          <w:p w:rsidRPr="00A32EF5" w:rsidR="00E60F12" w:rsidP="00E60F12" w:rsidRDefault="00E60F12" w14:paraId="498573CF" w14:textId="77777777">
            <w:pPr>
              <w:keepNext/>
              <w:spacing w:before="100" w:after="0"/>
              <w:rPr>
                <w:rFonts w:asciiTheme="minorHAnsi" w:hAnsiTheme="minorHAnsi" w:cstheme="minorHAnsi"/>
                <w:b/>
              </w:rPr>
            </w:pPr>
            <w:r w:rsidRPr="00A32EF5">
              <w:rPr>
                <w:rFonts w:asciiTheme="minorHAnsi" w:hAnsiTheme="minorHAnsi" w:cstheme="minorHAnsi"/>
                <w:b/>
              </w:rPr>
              <w:t>Target Date</w:t>
            </w:r>
          </w:p>
        </w:tc>
        <w:tc>
          <w:tcPr>
            <w:tcW w:w="0" w:type="auto"/>
          </w:tcPr>
          <w:p w:rsidRPr="00294A23" w:rsidR="00E60F12" w:rsidP="00E60F12" w:rsidRDefault="00E60F12" w14:paraId="1FB8981B" w14:textId="71A26C2F">
            <w:pPr>
              <w:spacing w:before="100" w:after="0"/>
              <w:rPr>
                <w:color w:val="000000"/>
              </w:rPr>
            </w:pPr>
            <w:r w:rsidRPr="00294A23">
              <w:rPr>
                <w:color w:val="000000"/>
              </w:rPr>
              <w:t>6/30/202</w:t>
            </w:r>
            <w:r w:rsidRPr="00294A23" w:rsidR="004070CC">
              <w:rPr>
                <w:color w:val="000000"/>
              </w:rPr>
              <w:t>3</w:t>
            </w:r>
          </w:p>
        </w:tc>
      </w:tr>
      <w:tr w:rsidRPr="00ED22E1" w:rsidR="00E60F12" w14:paraId="1FBC67AB" w14:textId="77777777">
        <w:trPr>
          <w:cantSplit/>
        </w:trPr>
        <w:tc>
          <w:tcPr>
            <w:tcW w:w="0" w:type="auto"/>
            <w:vMerge/>
          </w:tcPr>
          <w:p w:rsidRPr="00ED22E1" w:rsidR="00E60F12" w:rsidP="00E60F12" w:rsidRDefault="00E60F12" w14:paraId="04B15D11" w14:textId="77777777">
            <w:pPr>
              <w:rPr>
                <w:highlight w:val="lightGray"/>
              </w:rPr>
            </w:pPr>
          </w:p>
        </w:tc>
        <w:tc>
          <w:tcPr>
            <w:tcW w:w="0" w:type="auto"/>
          </w:tcPr>
          <w:p w:rsidRPr="00A32EF5" w:rsidR="00E60F12" w:rsidP="00E60F12" w:rsidRDefault="00E60F12" w14:paraId="234C0415" w14:textId="77777777">
            <w:pPr>
              <w:keepNext/>
              <w:spacing w:before="100" w:after="0"/>
              <w:rPr>
                <w:rFonts w:asciiTheme="minorHAnsi" w:hAnsiTheme="minorHAnsi"/>
                <w:b/>
              </w:rPr>
            </w:pPr>
            <w:r w:rsidRPr="00A32EF5">
              <w:rPr>
                <w:rStyle w:val="Strong"/>
                <w:rFonts w:asciiTheme="minorHAnsi" w:hAnsiTheme="minorHAnsi"/>
              </w:rPr>
              <w:t>Estimate the number and type of families that will benefit from the proposed activities</w:t>
            </w:r>
          </w:p>
        </w:tc>
        <w:tc>
          <w:tcPr>
            <w:tcW w:w="0" w:type="auto"/>
          </w:tcPr>
          <w:p w:rsidRPr="00A32EF5" w:rsidR="00E60F12" w:rsidP="00E60F12" w:rsidRDefault="004070CC" w14:paraId="0CBD417C" w14:textId="7CD1EA78">
            <w:pPr>
              <w:spacing w:before="100" w:after="0"/>
              <w:rPr>
                <w:color w:val="000000"/>
              </w:rPr>
            </w:pPr>
            <w:r w:rsidRPr="00A32EF5">
              <w:rPr>
                <w:color w:val="000000"/>
              </w:rPr>
              <w:t>100</w:t>
            </w:r>
            <w:r w:rsidRPr="00A32EF5" w:rsidR="00E60F12">
              <w:rPr>
                <w:color w:val="000000"/>
              </w:rPr>
              <w:t xml:space="preserve"> students will receive safe educational youth programming over a </w:t>
            </w:r>
            <w:r w:rsidRPr="00A32EF5">
              <w:rPr>
                <w:color w:val="000000"/>
              </w:rPr>
              <w:t>2-year</w:t>
            </w:r>
            <w:r w:rsidRPr="00A32EF5" w:rsidR="00E60F12">
              <w:rPr>
                <w:color w:val="000000"/>
              </w:rPr>
              <w:t xml:space="preserve"> period.  </w:t>
            </w:r>
          </w:p>
          <w:p w:rsidRPr="00294A23" w:rsidR="00963446" w:rsidP="00E60F12" w:rsidRDefault="00963446" w14:paraId="5604B1D9" w14:textId="77777777">
            <w:pPr>
              <w:spacing w:before="100" w:after="0"/>
              <w:rPr>
                <w:color w:val="000000"/>
              </w:rPr>
            </w:pPr>
          </w:p>
          <w:p w:rsidRPr="00294A23" w:rsidR="00963446" w:rsidP="00E60F12" w:rsidRDefault="00963446" w14:paraId="3645683B" w14:textId="1C1CFC13">
            <w:pPr>
              <w:spacing w:before="100" w:after="0"/>
              <w:rPr>
                <w:color w:val="000000"/>
              </w:rPr>
            </w:pPr>
          </w:p>
        </w:tc>
      </w:tr>
      <w:tr w:rsidRPr="00ED22E1" w:rsidR="00C803D8" w14:paraId="2418C722" w14:textId="77777777">
        <w:trPr>
          <w:cantSplit/>
        </w:trPr>
        <w:tc>
          <w:tcPr>
            <w:tcW w:w="0" w:type="auto"/>
            <w:vMerge/>
          </w:tcPr>
          <w:p w:rsidRPr="00ED22E1" w:rsidR="00C803D8" w:rsidP="00C803D8" w:rsidRDefault="00C803D8" w14:paraId="19E1C27F" w14:textId="77777777">
            <w:pPr>
              <w:rPr>
                <w:highlight w:val="lightGray"/>
              </w:rPr>
            </w:pPr>
          </w:p>
        </w:tc>
        <w:tc>
          <w:tcPr>
            <w:tcW w:w="0" w:type="auto"/>
          </w:tcPr>
          <w:p w:rsidRPr="00A32EF5" w:rsidR="00C803D8" w:rsidP="00C803D8" w:rsidRDefault="00C803D8" w14:paraId="04EF3E88" w14:textId="77777777">
            <w:pPr>
              <w:keepNext/>
              <w:spacing w:before="100" w:after="0"/>
              <w:rPr>
                <w:rFonts w:asciiTheme="minorHAnsi" w:hAnsiTheme="minorHAnsi"/>
                <w:b/>
              </w:rPr>
            </w:pPr>
            <w:r w:rsidRPr="00A32EF5">
              <w:rPr>
                <w:rStyle w:val="Strong"/>
                <w:rFonts w:asciiTheme="minorHAnsi" w:hAnsiTheme="minorHAnsi"/>
              </w:rPr>
              <w:t>Location Description</w:t>
            </w:r>
          </w:p>
        </w:tc>
        <w:tc>
          <w:tcPr>
            <w:tcW w:w="0" w:type="auto"/>
          </w:tcPr>
          <w:p w:rsidRPr="00294A23" w:rsidR="00C803D8" w:rsidP="00C803D8" w:rsidRDefault="00C803D8" w14:paraId="693EAA51" w14:textId="287EB609">
            <w:pPr>
              <w:spacing w:before="100" w:after="0"/>
              <w:rPr>
                <w:color w:val="000000"/>
              </w:rPr>
            </w:pPr>
            <w:r w:rsidRPr="00A32EF5">
              <w:rPr>
                <w:color w:val="000000"/>
              </w:rPr>
              <w:t>NEIGHBORHOOD REVITALIZATION STRATEGY AREA</w:t>
            </w:r>
          </w:p>
        </w:tc>
      </w:tr>
      <w:tr w:rsidRPr="00ED22E1" w:rsidR="00C803D8" w14:paraId="2FF526F6" w14:textId="77777777">
        <w:trPr>
          <w:cantSplit/>
        </w:trPr>
        <w:tc>
          <w:tcPr>
            <w:tcW w:w="0" w:type="auto"/>
            <w:vMerge/>
          </w:tcPr>
          <w:p w:rsidRPr="00ED22E1" w:rsidR="00C803D8" w:rsidP="00C803D8" w:rsidRDefault="00C803D8" w14:paraId="659C37CB" w14:textId="77777777">
            <w:pPr>
              <w:rPr>
                <w:highlight w:val="lightGray"/>
              </w:rPr>
            </w:pPr>
          </w:p>
        </w:tc>
        <w:tc>
          <w:tcPr>
            <w:tcW w:w="0" w:type="auto"/>
          </w:tcPr>
          <w:p w:rsidRPr="00A32EF5" w:rsidR="00C803D8" w:rsidP="00C803D8" w:rsidRDefault="00C803D8" w14:paraId="35155BC9" w14:textId="77777777">
            <w:pPr>
              <w:keepNext/>
              <w:spacing w:before="100" w:after="0"/>
              <w:rPr>
                <w:rFonts w:asciiTheme="minorHAnsi" w:hAnsiTheme="minorHAnsi"/>
                <w:b/>
              </w:rPr>
            </w:pPr>
            <w:r w:rsidRPr="00A32EF5">
              <w:rPr>
                <w:rStyle w:val="Strong"/>
                <w:rFonts w:asciiTheme="minorHAnsi" w:hAnsiTheme="minorHAnsi"/>
              </w:rPr>
              <w:t>Planned Activities</w:t>
            </w:r>
          </w:p>
        </w:tc>
        <w:tc>
          <w:tcPr>
            <w:tcW w:w="0" w:type="auto"/>
          </w:tcPr>
          <w:p w:rsidRPr="00294A23" w:rsidR="00C803D8" w:rsidP="00C803D8" w:rsidRDefault="00C803D8" w14:paraId="0F6EFD39" w14:textId="3625AEAE">
            <w:pPr>
              <w:spacing w:before="100" w:after="0"/>
              <w:rPr>
                <w:color w:val="000000"/>
              </w:rPr>
            </w:pPr>
            <w:r w:rsidRPr="00A32EF5">
              <w:rPr>
                <w:color w:val="000000"/>
              </w:rPr>
              <w:t>The Sara Holbrook Afterschool Program will provide enriching afterschool learning opportunities to LMI students over a 2 year period. </w:t>
            </w:r>
          </w:p>
        </w:tc>
      </w:tr>
      <w:tr w:rsidRPr="00ED22E1" w:rsidR="00C803D8" w14:paraId="3BC06EB4" w14:textId="77777777">
        <w:trPr>
          <w:cantSplit/>
        </w:trPr>
        <w:tc>
          <w:tcPr>
            <w:tcW w:w="0" w:type="auto"/>
            <w:vMerge w:val="restart"/>
          </w:tcPr>
          <w:p w:rsidRPr="00750573" w:rsidR="00C803D8" w:rsidP="00C803D8" w:rsidRDefault="00C803D8" w14:paraId="6AE46822" w14:textId="5EAB17F6">
            <w:r w:rsidRPr="00750573">
              <w:rPr>
                <w:b/>
              </w:rPr>
              <w:t>10</w:t>
            </w:r>
          </w:p>
        </w:tc>
        <w:tc>
          <w:tcPr>
            <w:tcW w:w="0" w:type="auto"/>
          </w:tcPr>
          <w:p w:rsidRPr="00750573" w:rsidR="00C803D8" w:rsidP="00C803D8" w:rsidRDefault="00C803D8" w14:paraId="577BC61A" w14:textId="77777777">
            <w:pPr>
              <w:keepNext/>
              <w:spacing w:before="100" w:after="0"/>
              <w:rPr>
                <w:b/>
              </w:rPr>
            </w:pPr>
            <w:r w:rsidRPr="00750573">
              <w:rPr>
                <w:b/>
              </w:rPr>
              <w:t>Project Name</w:t>
            </w:r>
          </w:p>
        </w:tc>
        <w:tc>
          <w:tcPr>
            <w:tcW w:w="0" w:type="auto"/>
          </w:tcPr>
          <w:p w:rsidRPr="00750573" w:rsidR="00C803D8" w:rsidP="00C803D8" w:rsidRDefault="00C803D8" w14:paraId="426BC70F" w14:textId="77777777">
            <w:pPr>
              <w:spacing w:before="100" w:after="0"/>
            </w:pPr>
            <w:r w:rsidRPr="00750573">
              <w:rPr>
                <w:color w:val="000000"/>
              </w:rPr>
              <w:t>CDBG and HOME Administration</w:t>
            </w:r>
          </w:p>
        </w:tc>
      </w:tr>
      <w:tr w:rsidRPr="00ED22E1" w:rsidR="00C803D8" w14:paraId="0854E57B" w14:textId="77777777">
        <w:trPr>
          <w:cantSplit/>
        </w:trPr>
        <w:tc>
          <w:tcPr>
            <w:tcW w:w="0" w:type="auto"/>
            <w:vMerge/>
          </w:tcPr>
          <w:p w:rsidRPr="00750573" w:rsidR="00C803D8" w:rsidP="00C803D8" w:rsidRDefault="00C803D8" w14:paraId="6063CA94" w14:textId="77777777"/>
        </w:tc>
        <w:tc>
          <w:tcPr>
            <w:tcW w:w="0" w:type="auto"/>
          </w:tcPr>
          <w:p w:rsidRPr="00750573" w:rsidR="00C803D8" w:rsidP="00C803D8" w:rsidRDefault="00C803D8" w14:paraId="6F5F6BC6" w14:textId="77777777">
            <w:pPr>
              <w:keepNext/>
              <w:spacing w:before="100" w:after="0"/>
              <w:rPr>
                <w:b/>
              </w:rPr>
            </w:pPr>
            <w:r w:rsidRPr="00750573">
              <w:rPr>
                <w:b/>
              </w:rPr>
              <w:t>Target Area</w:t>
            </w:r>
          </w:p>
        </w:tc>
        <w:tc>
          <w:tcPr>
            <w:tcW w:w="0" w:type="auto"/>
          </w:tcPr>
          <w:p w:rsidRPr="00750573" w:rsidR="00C803D8" w:rsidP="00C803D8" w:rsidRDefault="00C803D8" w14:paraId="3AB68D3B" w14:textId="77777777">
            <w:pPr>
              <w:spacing w:before="100" w:after="0"/>
            </w:pPr>
            <w:r w:rsidRPr="00750573">
              <w:rPr>
                <w:color w:val="000000"/>
              </w:rPr>
              <w:t>NEIGHBORHOOD REVITALIZATION STRATEGY AREA</w:t>
            </w:r>
            <w:r w:rsidRPr="00750573">
              <w:rPr>
                <w:color w:val="000000"/>
              </w:rPr>
              <w:br/>
            </w:r>
            <w:r w:rsidRPr="00750573">
              <w:rPr>
                <w:color w:val="000000"/>
              </w:rPr>
              <w:t>City-Wide</w:t>
            </w:r>
          </w:p>
        </w:tc>
      </w:tr>
      <w:tr w:rsidRPr="00ED22E1" w:rsidR="00C803D8" w14:paraId="6B73E43A" w14:textId="77777777">
        <w:trPr>
          <w:cantSplit/>
        </w:trPr>
        <w:tc>
          <w:tcPr>
            <w:tcW w:w="0" w:type="auto"/>
            <w:vMerge/>
          </w:tcPr>
          <w:p w:rsidRPr="00ED22E1" w:rsidR="00C803D8" w:rsidP="00C803D8" w:rsidRDefault="00C803D8" w14:paraId="3BF45961" w14:textId="77777777">
            <w:pPr>
              <w:rPr>
                <w:highlight w:val="lightGray"/>
              </w:rPr>
            </w:pPr>
          </w:p>
        </w:tc>
        <w:tc>
          <w:tcPr>
            <w:tcW w:w="0" w:type="auto"/>
          </w:tcPr>
          <w:p w:rsidRPr="00424711" w:rsidR="00C803D8" w:rsidP="00C803D8" w:rsidRDefault="00C803D8" w14:paraId="2815B2D6" w14:textId="77777777">
            <w:pPr>
              <w:keepNext/>
              <w:spacing w:before="100" w:after="0"/>
              <w:rPr>
                <w:b/>
              </w:rPr>
            </w:pPr>
            <w:r w:rsidRPr="00424711">
              <w:rPr>
                <w:b/>
              </w:rPr>
              <w:t>Goals Supported</w:t>
            </w:r>
          </w:p>
        </w:tc>
        <w:tc>
          <w:tcPr>
            <w:tcW w:w="0" w:type="auto"/>
          </w:tcPr>
          <w:p w:rsidRPr="00424711" w:rsidR="00C803D8" w:rsidP="00C803D8" w:rsidRDefault="00C803D8" w14:paraId="637A71FD" w14:textId="77777777">
            <w:pPr>
              <w:spacing w:before="100" w:after="0"/>
            </w:pPr>
            <w:r w:rsidRPr="00424711">
              <w:rPr>
                <w:color w:val="000000"/>
              </w:rPr>
              <w:t>Planning and Administration</w:t>
            </w:r>
          </w:p>
        </w:tc>
      </w:tr>
      <w:tr w:rsidRPr="00ED22E1" w:rsidR="00C803D8" w14:paraId="02C68B2C" w14:textId="77777777">
        <w:trPr>
          <w:cantSplit/>
        </w:trPr>
        <w:tc>
          <w:tcPr>
            <w:tcW w:w="0" w:type="auto"/>
            <w:vMerge/>
          </w:tcPr>
          <w:p w:rsidRPr="00ED22E1" w:rsidR="00C803D8" w:rsidP="00C803D8" w:rsidRDefault="00C803D8" w14:paraId="580785CC" w14:textId="77777777">
            <w:pPr>
              <w:rPr>
                <w:highlight w:val="lightGray"/>
              </w:rPr>
            </w:pPr>
          </w:p>
        </w:tc>
        <w:tc>
          <w:tcPr>
            <w:tcW w:w="0" w:type="auto"/>
          </w:tcPr>
          <w:p w:rsidRPr="00424711" w:rsidR="00C803D8" w:rsidP="00C803D8" w:rsidRDefault="00C803D8" w14:paraId="33A4BF59" w14:textId="77777777">
            <w:pPr>
              <w:keepNext/>
              <w:spacing w:before="100" w:after="0"/>
              <w:rPr>
                <w:b/>
              </w:rPr>
            </w:pPr>
            <w:r w:rsidRPr="00424711">
              <w:rPr>
                <w:b/>
              </w:rPr>
              <w:t>Needs Addressed</w:t>
            </w:r>
          </w:p>
        </w:tc>
        <w:tc>
          <w:tcPr>
            <w:tcW w:w="0" w:type="auto"/>
          </w:tcPr>
          <w:p w:rsidRPr="00294A23" w:rsidR="00C803D8" w:rsidP="00C803D8" w:rsidRDefault="00C803D8" w14:paraId="524D83CF" w14:textId="77777777">
            <w:pPr>
              <w:spacing w:before="100" w:after="0"/>
              <w:rPr>
                <w:color w:val="000000"/>
              </w:rPr>
            </w:pPr>
            <w:r w:rsidRPr="00424711">
              <w:rPr>
                <w:color w:val="000000"/>
              </w:rPr>
              <w:t>Planning and Administration</w:t>
            </w:r>
          </w:p>
        </w:tc>
      </w:tr>
      <w:tr w:rsidRPr="00ED22E1" w:rsidR="00C803D8" w14:paraId="44B86937" w14:textId="77777777">
        <w:trPr>
          <w:cantSplit/>
        </w:trPr>
        <w:tc>
          <w:tcPr>
            <w:tcW w:w="0" w:type="auto"/>
            <w:vMerge/>
          </w:tcPr>
          <w:p w:rsidRPr="00ED22E1" w:rsidR="00C803D8" w:rsidP="00C803D8" w:rsidRDefault="00C803D8" w14:paraId="15D5CAD6" w14:textId="77777777">
            <w:pPr>
              <w:rPr>
                <w:highlight w:val="lightGray"/>
              </w:rPr>
            </w:pPr>
          </w:p>
        </w:tc>
        <w:tc>
          <w:tcPr>
            <w:tcW w:w="0" w:type="auto"/>
          </w:tcPr>
          <w:p w:rsidRPr="00424711" w:rsidR="00C803D8" w:rsidP="00C803D8" w:rsidRDefault="00C803D8" w14:paraId="45D341E5" w14:textId="77777777">
            <w:pPr>
              <w:keepNext/>
              <w:spacing w:before="100" w:after="0"/>
              <w:rPr>
                <w:b/>
              </w:rPr>
            </w:pPr>
            <w:r w:rsidRPr="00424711">
              <w:rPr>
                <w:b/>
              </w:rPr>
              <w:t>Funding</w:t>
            </w:r>
          </w:p>
        </w:tc>
        <w:tc>
          <w:tcPr>
            <w:tcW w:w="0" w:type="auto"/>
          </w:tcPr>
          <w:p w:rsidRPr="00294A23" w:rsidR="00C803D8" w:rsidP="00F90C3D" w:rsidRDefault="00C803D8" w14:paraId="5493C9FA" w14:textId="6575F716">
            <w:pPr>
              <w:spacing w:before="100" w:after="0"/>
              <w:rPr>
                <w:color w:val="000000"/>
              </w:rPr>
            </w:pPr>
            <w:r w:rsidRPr="00DA56F8">
              <w:rPr>
                <w:color w:val="000000"/>
              </w:rPr>
              <w:t xml:space="preserve">CDBG: </w:t>
            </w:r>
            <w:r w:rsidRPr="00294A23">
              <w:rPr>
                <w:color w:val="000000"/>
              </w:rPr>
              <w:t>$</w:t>
            </w:r>
            <w:r w:rsidRPr="00294A23" w:rsidR="00975A00">
              <w:rPr>
                <w:color w:val="000000"/>
              </w:rPr>
              <w:t>154,192</w:t>
            </w:r>
            <w:r w:rsidRPr="00294A23">
              <w:rPr>
                <w:color w:val="000000"/>
              </w:rPr>
              <w:br/>
            </w:r>
            <w:r w:rsidRPr="00B91625">
              <w:rPr>
                <w:color w:val="000000"/>
              </w:rPr>
              <w:t>HOME: $</w:t>
            </w:r>
            <w:r w:rsidRPr="00B91625" w:rsidR="00B91625">
              <w:rPr>
                <w:color w:val="000000"/>
              </w:rPr>
              <w:t>41,441</w:t>
            </w:r>
          </w:p>
        </w:tc>
      </w:tr>
      <w:tr w:rsidRPr="00ED22E1" w:rsidR="00C803D8" w14:paraId="08EA8FB9" w14:textId="77777777">
        <w:trPr>
          <w:cantSplit/>
        </w:trPr>
        <w:tc>
          <w:tcPr>
            <w:tcW w:w="0" w:type="auto"/>
            <w:vMerge/>
          </w:tcPr>
          <w:p w:rsidRPr="00ED22E1" w:rsidR="00C803D8" w:rsidP="00C803D8" w:rsidRDefault="00C803D8" w14:paraId="71A9444F" w14:textId="77777777">
            <w:pPr>
              <w:rPr>
                <w:highlight w:val="lightGray"/>
              </w:rPr>
            </w:pPr>
          </w:p>
        </w:tc>
        <w:tc>
          <w:tcPr>
            <w:tcW w:w="0" w:type="auto"/>
          </w:tcPr>
          <w:p w:rsidRPr="00424711" w:rsidR="00C803D8" w:rsidP="00C803D8" w:rsidRDefault="00C803D8" w14:paraId="05AE8908" w14:textId="77777777">
            <w:pPr>
              <w:keepNext/>
              <w:spacing w:before="100" w:after="0"/>
              <w:rPr>
                <w:b/>
              </w:rPr>
            </w:pPr>
            <w:r w:rsidRPr="00424711">
              <w:rPr>
                <w:b/>
              </w:rPr>
              <w:t>Description</w:t>
            </w:r>
          </w:p>
        </w:tc>
        <w:tc>
          <w:tcPr>
            <w:tcW w:w="0" w:type="auto"/>
          </w:tcPr>
          <w:p w:rsidRPr="00294A23" w:rsidR="00C803D8" w:rsidP="00C803D8" w:rsidRDefault="00C803D8" w14:paraId="13CBB4FA" w14:textId="64E7D87A">
            <w:pPr>
              <w:spacing w:before="100" w:after="0"/>
              <w:rPr>
                <w:color w:val="000000"/>
              </w:rPr>
            </w:pPr>
            <w:r w:rsidRPr="00424711">
              <w:rPr>
                <w:color w:val="000000"/>
              </w:rPr>
              <w:t>Administration funding for CDBG and HOME grants</w:t>
            </w:r>
            <w:r w:rsidRPr="00424711" w:rsidR="00424711">
              <w:rPr>
                <w:color w:val="000000"/>
              </w:rPr>
              <w:t>.</w:t>
            </w:r>
          </w:p>
        </w:tc>
      </w:tr>
      <w:tr w:rsidRPr="00ED22E1" w:rsidR="00C803D8" w14:paraId="54830AC1" w14:textId="77777777">
        <w:trPr>
          <w:cantSplit/>
        </w:trPr>
        <w:tc>
          <w:tcPr>
            <w:tcW w:w="0" w:type="auto"/>
            <w:vMerge/>
          </w:tcPr>
          <w:p w:rsidRPr="00ED22E1" w:rsidR="00C803D8" w:rsidP="00C803D8" w:rsidRDefault="00C803D8" w14:paraId="299868D3" w14:textId="77777777">
            <w:pPr>
              <w:rPr>
                <w:highlight w:val="lightGray"/>
              </w:rPr>
            </w:pPr>
          </w:p>
        </w:tc>
        <w:tc>
          <w:tcPr>
            <w:tcW w:w="0" w:type="auto"/>
          </w:tcPr>
          <w:p w:rsidRPr="00424711" w:rsidR="00C803D8" w:rsidP="00C803D8" w:rsidRDefault="00C803D8" w14:paraId="56FA3E78" w14:textId="77777777">
            <w:pPr>
              <w:keepNext/>
              <w:spacing w:before="100" w:after="0"/>
              <w:rPr>
                <w:b/>
              </w:rPr>
            </w:pPr>
            <w:r w:rsidRPr="00424711">
              <w:rPr>
                <w:b/>
              </w:rPr>
              <w:t>Target Date</w:t>
            </w:r>
          </w:p>
        </w:tc>
        <w:tc>
          <w:tcPr>
            <w:tcW w:w="0" w:type="auto"/>
          </w:tcPr>
          <w:p w:rsidRPr="00ED22E1" w:rsidR="00C803D8" w:rsidP="00C803D8" w:rsidRDefault="00C803D8" w14:paraId="593B56F0" w14:textId="331D33AF">
            <w:pPr>
              <w:spacing w:before="100" w:after="0"/>
              <w:rPr>
                <w:highlight w:val="lightGray"/>
              </w:rPr>
            </w:pPr>
            <w:r w:rsidRPr="00B91625">
              <w:rPr>
                <w:color w:val="000000"/>
              </w:rPr>
              <w:t>6/30/202</w:t>
            </w:r>
            <w:r w:rsidRPr="00B91625" w:rsidR="00B91625">
              <w:rPr>
                <w:color w:val="000000"/>
              </w:rPr>
              <w:t>2</w:t>
            </w:r>
          </w:p>
        </w:tc>
      </w:tr>
      <w:tr w:rsidRPr="00ED22E1" w:rsidR="00C803D8" w14:paraId="6CEF7061" w14:textId="77777777">
        <w:trPr>
          <w:cantSplit/>
        </w:trPr>
        <w:tc>
          <w:tcPr>
            <w:tcW w:w="0" w:type="auto"/>
            <w:vMerge/>
          </w:tcPr>
          <w:p w:rsidRPr="00ED22E1" w:rsidR="00C803D8" w:rsidP="00C803D8" w:rsidRDefault="00C803D8" w14:paraId="42407896" w14:textId="77777777">
            <w:pPr>
              <w:rPr>
                <w:highlight w:val="lightGray"/>
              </w:rPr>
            </w:pPr>
          </w:p>
        </w:tc>
        <w:tc>
          <w:tcPr>
            <w:tcW w:w="0" w:type="auto"/>
          </w:tcPr>
          <w:p w:rsidRPr="00424711" w:rsidR="00C803D8" w:rsidP="00C803D8" w:rsidRDefault="00C803D8" w14:paraId="3E5EF09A" w14:textId="77777777">
            <w:pPr>
              <w:keepNext/>
              <w:spacing w:before="100" w:after="0"/>
              <w:rPr>
                <w:rFonts w:asciiTheme="minorHAnsi" w:hAnsiTheme="minorHAnsi"/>
                <w:b/>
              </w:rPr>
            </w:pPr>
            <w:r w:rsidRPr="00424711">
              <w:rPr>
                <w:rStyle w:val="Strong"/>
                <w:rFonts w:asciiTheme="minorHAnsi" w:hAnsiTheme="minorHAnsi"/>
              </w:rPr>
              <w:t>Estimate the number and type of families that will benefit from the proposed activities</w:t>
            </w:r>
          </w:p>
        </w:tc>
        <w:tc>
          <w:tcPr>
            <w:tcW w:w="0" w:type="auto"/>
          </w:tcPr>
          <w:p w:rsidRPr="00ED22E1" w:rsidR="00C803D8" w:rsidP="00C803D8" w:rsidRDefault="00C803D8" w14:paraId="5B41232E" w14:textId="3E1258E3">
            <w:pPr>
              <w:spacing w:before="100" w:after="0"/>
              <w:rPr>
                <w:highlight w:val="lightGray"/>
              </w:rPr>
            </w:pPr>
            <w:r w:rsidRPr="00AE284E">
              <w:rPr>
                <w:color w:val="000000"/>
              </w:rPr>
              <w:t xml:space="preserve"> </w:t>
            </w:r>
            <w:r w:rsidRPr="00AE284E" w:rsidR="00AE284E">
              <w:rPr>
                <w:color w:val="000000"/>
              </w:rPr>
              <w:t>N/A</w:t>
            </w:r>
          </w:p>
        </w:tc>
      </w:tr>
      <w:tr w:rsidRPr="00ED22E1" w:rsidR="00C803D8" w14:paraId="3D2B5F3E" w14:textId="77777777">
        <w:trPr>
          <w:cantSplit/>
        </w:trPr>
        <w:tc>
          <w:tcPr>
            <w:tcW w:w="0" w:type="auto"/>
            <w:vMerge/>
          </w:tcPr>
          <w:p w:rsidRPr="00ED22E1" w:rsidR="00C803D8" w:rsidP="00C803D8" w:rsidRDefault="00C803D8" w14:paraId="38B71CD2" w14:textId="77777777">
            <w:pPr>
              <w:rPr>
                <w:highlight w:val="lightGray"/>
              </w:rPr>
            </w:pPr>
          </w:p>
        </w:tc>
        <w:tc>
          <w:tcPr>
            <w:tcW w:w="0" w:type="auto"/>
          </w:tcPr>
          <w:p w:rsidRPr="00424711" w:rsidR="00C803D8" w:rsidP="00C803D8" w:rsidRDefault="00C803D8" w14:paraId="63D96733" w14:textId="77777777">
            <w:pPr>
              <w:keepNext/>
              <w:spacing w:before="100" w:after="0"/>
              <w:rPr>
                <w:rFonts w:asciiTheme="minorHAnsi" w:hAnsiTheme="minorHAnsi"/>
                <w:b/>
              </w:rPr>
            </w:pPr>
            <w:r w:rsidRPr="00424711">
              <w:rPr>
                <w:rStyle w:val="Strong"/>
                <w:rFonts w:asciiTheme="minorHAnsi" w:hAnsiTheme="minorHAnsi"/>
              </w:rPr>
              <w:t>Location Description</w:t>
            </w:r>
          </w:p>
        </w:tc>
        <w:tc>
          <w:tcPr>
            <w:tcW w:w="0" w:type="auto"/>
          </w:tcPr>
          <w:p w:rsidRPr="00424711" w:rsidR="00C803D8" w:rsidP="00C803D8" w:rsidRDefault="00BB01C5" w14:paraId="2658F13C" w14:textId="53C318EE">
            <w:pPr>
              <w:spacing w:before="100" w:after="0"/>
            </w:pPr>
            <w:r w:rsidRPr="00424711">
              <w:rPr>
                <w:color w:val="000000"/>
              </w:rPr>
              <w:t>NEIGHBORHOOD REVITALIZATION STRATEGY AREA</w:t>
            </w:r>
            <w:r w:rsidRPr="00424711">
              <w:rPr>
                <w:color w:val="000000"/>
              </w:rPr>
              <w:br/>
            </w:r>
            <w:r w:rsidRPr="00424711">
              <w:rPr>
                <w:color w:val="000000"/>
              </w:rPr>
              <w:t>City-Wide</w:t>
            </w:r>
          </w:p>
        </w:tc>
      </w:tr>
      <w:tr w:rsidRPr="00ED22E1" w:rsidR="00C803D8" w14:paraId="56E27A34" w14:textId="77777777">
        <w:trPr>
          <w:cantSplit/>
        </w:trPr>
        <w:tc>
          <w:tcPr>
            <w:tcW w:w="0" w:type="auto"/>
            <w:vMerge/>
          </w:tcPr>
          <w:p w:rsidRPr="00ED22E1" w:rsidR="00C803D8" w:rsidP="00C803D8" w:rsidRDefault="00C803D8" w14:paraId="43F19C33" w14:textId="77777777">
            <w:pPr>
              <w:rPr>
                <w:highlight w:val="lightGray"/>
              </w:rPr>
            </w:pPr>
          </w:p>
        </w:tc>
        <w:tc>
          <w:tcPr>
            <w:tcW w:w="0" w:type="auto"/>
          </w:tcPr>
          <w:p w:rsidRPr="00424711" w:rsidR="00C803D8" w:rsidP="00C803D8" w:rsidRDefault="00C803D8" w14:paraId="27021FBA" w14:textId="77777777">
            <w:pPr>
              <w:keepNext/>
              <w:spacing w:before="100" w:after="0"/>
              <w:rPr>
                <w:rFonts w:asciiTheme="minorHAnsi" w:hAnsiTheme="minorHAnsi"/>
                <w:b/>
              </w:rPr>
            </w:pPr>
            <w:r w:rsidRPr="00424711">
              <w:rPr>
                <w:rStyle w:val="Strong"/>
                <w:rFonts w:asciiTheme="minorHAnsi" w:hAnsiTheme="minorHAnsi"/>
              </w:rPr>
              <w:t>Planned Activities</w:t>
            </w:r>
          </w:p>
        </w:tc>
        <w:tc>
          <w:tcPr>
            <w:tcW w:w="0" w:type="auto"/>
          </w:tcPr>
          <w:p w:rsidRPr="00424711" w:rsidR="00C803D8" w:rsidP="00C803D8" w:rsidRDefault="00C803D8" w14:paraId="1787FC30" w14:textId="77777777">
            <w:pPr>
              <w:spacing w:before="100" w:after="0"/>
            </w:pPr>
            <w:r w:rsidRPr="00424711">
              <w:rPr>
                <w:color w:val="000000"/>
              </w:rPr>
              <w:t>To support the capacity of the nonprofit institutional delivery structure in the City; pursue State and Federal resources in support of City initiatives; implement City planning efforts; administer community and economic development programs; and support fair housing efforts in the City. </w:t>
            </w:r>
          </w:p>
        </w:tc>
      </w:tr>
    </w:tbl>
    <w:p w:rsidRPr="008C1895" w:rsidR="00777D08" w:rsidRDefault="00211F76" w14:paraId="497702A5" w14:textId="77777777">
      <w:pPr>
        <w:pStyle w:val="Heading2"/>
        <w:pageBreakBefore/>
        <w:widowControl w:val="0"/>
        <w:rPr>
          <w:rFonts w:ascii="Calibri" w:hAnsi="Calibri"/>
          <w:i w:val="0"/>
        </w:rPr>
      </w:pPr>
      <w:bookmarkStart w:name="_Toc309810477" w:id="10"/>
      <w:bookmarkEnd w:id="7"/>
      <w:r w:rsidRPr="008C1895">
        <w:rPr>
          <w:rFonts w:ascii="Calibri" w:hAnsi="Calibri"/>
          <w:i w:val="0"/>
        </w:rPr>
        <w:lastRenderedPageBreak/>
        <w:t xml:space="preserve">AP-50 Geographic Distribution – 91.220(f) </w:t>
      </w:r>
      <w:bookmarkEnd w:id="10"/>
    </w:p>
    <w:p w:rsidRPr="008C1895" w:rsidR="00777D08" w:rsidRDefault="00211F76" w14:paraId="75AD410A" w14:textId="77777777">
      <w:pPr>
        <w:keepNext/>
        <w:widowControl w:val="0"/>
        <w:rPr>
          <w:b/>
          <w:sz w:val="24"/>
          <w:szCs w:val="24"/>
        </w:rPr>
      </w:pPr>
      <w:r w:rsidRPr="008C1895">
        <w:rPr>
          <w:b/>
          <w:sz w:val="24"/>
          <w:szCs w:val="24"/>
        </w:rPr>
        <w:t xml:space="preserve">Description of the geographic areas of the entitlement (including areas of low-income and minority concentration) where assistance will be directed </w:t>
      </w:r>
    </w:p>
    <w:p w:rsidRPr="008C1895" w:rsidR="00777D08" w:rsidRDefault="00211F76" w14:paraId="12A51951" w14:textId="42F969F2">
      <w:pPr>
        <w:keepNext/>
        <w:widowControl w:val="0"/>
        <w:spacing w:beforeAutospacing="1" w:afterAutospacing="1"/>
        <w:rPr>
          <w:rFonts w:cs="Arial"/>
          <w:szCs w:val="26"/>
        </w:rPr>
      </w:pPr>
      <w:r w:rsidRPr="008C1895">
        <w:rPr>
          <w:rFonts w:cs="Arial"/>
        </w:rPr>
        <w:t xml:space="preserve">Approximately </w:t>
      </w:r>
      <w:r w:rsidRPr="008C1895" w:rsidR="008C1895">
        <w:rPr>
          <w:rFonts w:cs="Arial"/>
        </w:rPr>
        <w:t>64</w:t>
      </w:r>
      <w:r w:rsidRPr="008C1895">
        <w:rPr>
          <w:rFonts w:cs="Arial"/>
        </w:rPr>
        <w:t>% of the City's CDBG resources are directed to activities that target the City's Neighborhood Revitalization Strategy Area. </w:t>
      </w:r>
    </w:p>
    <w:p w:rsidR="005702FB" w:rsidRDefault="005702FB" w14:paraId="124EB836" w14:textId="1CEA2ACA">
      <w:pPr>
        <w:keepNext/>
        <w:widowControl w:val="0"/>
        <w:rPr>
          <w:color w:val="000000"/>
        </w:rPr>
      </w:pPr>
      <w:r w:rsidRPr="009F5418">
        <w:rPr>
          <w:color w:val="000000"/>
        </w:rPr>
        <w:t>The City of Burlington's Neighborhood Revitalization Strategy Area was approved in January 2006 and reapproved with the 2013 Consolidated Plan. The NRSA covers census tracts 3, 4, 5, 6 and 10. As of the 2010 Census, there were 15,927 residents in the Target Area.  The Area as a whole is primarily residential, though within the designated census tracts are also several commercial corridors, the Central Business District and the Intervale (several hundred agricultural acres).  As of the 2010 Census the Target Area contains a composite low/mod percentage of low- and moderate-income residents of 68.5%, down from 71% during the 2000 census.  However, the poverty level data for the target area, using the 2012-16 American Community Survey shows that of the total population in the target area, 33.8% are living below poverty level. For children under 18, 21% are living below poverty level. For the adult category ages 18-64, 36.5% are living below poverty level. For the category of seniors over the age of 65, 18.9% of the population is living below poverty level. The highest concentration of households living below poverty level exists in census tract 5 where more than half the population is living below poverty level.  </w:t>
      </w:r>
    </w:p>
    <w:p w:rsidRPr="008C1895" w:rsidR="00777D08" w:rsidRDefault="00211F76" w14:paraId="527EBE09" w14:textId="35477B37">
      <w:pPr>
        <w:keepNext/>
        <w:widowControl w:val="0"/>
        <w:rPr>
          <w:b/>
          <w:sz w:val="24"/>
          <w:szCs w:val="24"/>
        </w:rPr>
      </w:pPr>
      <w:r w:rsidRPr="008C1895">
        <w:rPr>
          <w:b/>
          <w:sz w:val="24"/>
          <w:szCs w:val="24"/>
        </w:rPr>
        <w:t>Geographic Distribution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62"/>
        <w:gridCol w:w="2074"/>
      </w:tblGrid>
      <w:tr w:rsidRPr="008C1895" w:rsidR="00777D08" w14:paraId="06128686" w14:textId="77777777">
        <w:trPr>
          <w:cantSplit/>
          <w:tblHeader/>
        </w:trPr>
        <w:tc>
          <w:tcPr>
            <w:tcW w:w="0" w:type="auto"/>
          </w:tcPr>
          <w:p w:rsidRPr="008C1895" w:rsidR="00777D08" w:rsidRDefault="00211F76" w14:paraId="634D423F" w14:textId="77777777">
            <w:pPr>
              <w:keepNext/>
              <w:widowControl w:val="0"/>
              <w:spacing w:after="0" w:line="240" w:lineRule="auto"/>
              <w:jc w:val="center"/>
              <w:rPr>
                <w:b/>
                <w:szCs w:val="24"/>
              </w:rPr>
            </w:pPr>
            <w:r w:rsidRPr="008C1895">
              <w:rPr>
                <w:b/>
              </w:rPr>
              <w:t>Target Area</w:t>
            </w:r>
          </w:p>
        </w:tc>
        <w:tc>
          <w:tcPr>
            <w:tcW w:w="0" w:type="auto"/>
          </w:tcPr>
          <w:p w:rsidRPr="008C1895" w:rsidR="00777D08" w:rsidRDefault="00211F76" w14:paraId="25F36911" w14:textId="77777777">
            <w:pPr>
              <w:keepNext/>
              <w:widowControl w:val="0"/>
              <w:spacing w:after="0" w:line="240" w:lineRule="auto"/>
              <w:jc w:val="center"/>
              <w:rPr>
                <w:b/>
                <w:szCs w:val="24"/>
              </w:rPr>
            </w:pPr>
            <w:r w:rsidRPr="008C1895">
              <w:rPr>
                <w:b/>
              </w:rPr>
              <w:t>Percentage of Funds</w:t>
            </w:r>
          </w:p>
        </w:tc>
      </w:tr>
      <w:tr w:rsidRPr="008C1895" w:rsidR="00777D08" w14:paraId="6F8E4682" w14:textId="77777777">
        <w:trPr>
          <w:cantSplit/>
        </w:trPr>
        <w:tc>
          <w:tcPr>
            <w:tcW w:w="0" w:type="auto"/>
          </w:tcPr>
          <w:p w:rsidRPr="008C1895" w:rsidR="00777D08" w:rsidRDefault="00211F76" w14:paraId="0FBF71E3" w14:textId="77777777">
            <w:pPr>
              <w:spacing w:beforeAutospacing="1" w:afterAutospacing="1"/>
            </w:pPr>
            <w:r w:rsidRPr="008C1895">
              <w:rPr>
                <w:color w:val="000000"/>
              </w:rPr>
              <w:t>NEIGHBORHOOD REVITALIZATION STRATEGY AREA</w:t>
            </w:r>
          </w:p>
        </w:tc>
        <w:tc>
          <w:tcPr>
            <w:tcW w:w="0" w:type="auto"/>
            <w:vAlign w:val="bottom"/>
          </w:tcPr>
          <w:p w:rsidRPr="008C1895" w:rsidR="00777D08" w:rsidRDefault="008C1895" w14:paraId="3E80D593" w14:textId="5FB11F31">
            <w:pPr>
              <w:spacing w:beforeAutospacing="1" w:afterAutospacing="1"/>
              <w:jc w:val="right"/>
            </w:pPr>
            <w:r w:rsidRPr="008C1895">
              <w:t>64</w:t>
            </w:r>
          </w:p>
        </w:tc>
      </w:tr>
      <w:tr w:rsidRPr="008C1895" w:rsidR="00777D08" w14:paraId="64CFB23D" w14:textId="77777777">
        <w:trPr>
          <w:cantSplit/>
        </w:trPr>
        <w:tc>
          <w:tcPr>
            <w:tcW w:w="0" w:type="auto"/>
          </w:tcPr>
          <w:p w:rsidRPr="008C1895" w:rsidR="00777D08" w:rsidRDefault="00211F76" w14:paraId="4033EED3" w14:textId="77777777">
            <w:pPr>
              <w:spacing w:beforeAutospacing="1" w:afterAutospacing="1"/>
            </w:pPr>
            <w:r w:rsidRPr="008C1895">
              <w:rPr>
                <w:color w:val="000000"/>
              </w:rPr>
              <w:t>City-Wide</w:t>
            </w:r>
          </w:p>
        </w:tc>
        <w:tc>
          <w:tcPr>
            <w:tcW w:w="0" w:type="auto"/>
            <w:vAlign w:val="bottom"/>
          </w:tcPr>
          <w:p w:rsidRPr="008C1895" w:rsidR="00777D08" w:rsidRDefault="008C1895" w14:paraId="235DE966" w14:textId="61887F57">
            <w:pPr>
              <w:spacing w:beforeAutospacing="1" w:afterAutospacing="1"/>
              <w:jc w:val="right"/>
            </w:pPr>
            <w:r w:rsidRPr="008C1895">
              <w:t>36</w:t>
            </w:r>
          </w:p>
        </w:tc>
      </w:tr>
    </w:tbl>
    <w:p w:rsidRPr="008C1895" w:rsidR="00777D08" w:rsidRDefault="00211F76" w14:paraId="0EF5B33E" w14:textId="273154DD">
      <w:pPr>
        <w:pStyle w:val="Caption"/>
        <w:rPr>
          <w:rFonts w:asciiTheme="minorHAnsi" w:hAnsiTheme="minorHAnsi"/>
        </w:rPr>
      </w:pPr>
      <w:r w:rsidRPr="008C1895">
        <w:rPr>
          <w:rFonts w:asciiTheme="minorHAnsi" w:hAnsiTheme="minorHAnsi"/>
        </w:rPr>
        <w:t xml:space="preserve">Table </w:t>
      </w:r>
      <w:r w:rsidRPr="008C1895">
        <w:rPr>
          <w:rFonts w:asciiTheme="minorHAnsi" w:hAnsiTheme="minorHAnsi"/>
        </w:rPr>
        <w:fldChar w:fldCharType="begin"/>
      </w:r>
      <w:r w:rsidRPr="008C1895">
        <w:rPr>
          <w:rFonts w:asciiTheme="minorHAnsi" w:hAnsiTheme="minorHAnsi"/>
        </w:rPr>
        <w:instrText xml:space="preserve"> SEQ Table \* ARABIC </w:instrText>
      </w:r>
      <w:r w:rsidRPr="008C1895">
        <w:rPr>
          <w:rFonts w:asciiTheme="minorHAnsi" w:hAnsiTheme="minorHAnsi"/>
        </w:rPr>
        <w:fldChar w:fldCharType="separate"/>
      </w:r>
      <w:r w:rsidR="0090766A">
        <w:rPr>
          <w:rFonts w:asciiTheme="minorHAnsi" w:hAnsiTheme="minorHAnsi"/>
          <w:noProof/>
        </w:rPr>
        <w:t>8</w:t>
      </w:r>
      <w:r w:rsidRPr="008C1895">
        <w:rPr>
          <w:rFonts w:asciiTheme="minorHAnsi" w:hAnsiTheme="minorHAnsi"/>
        </w:rPr>
        <w:fldChar w:fldCharType="end"/>
      </w:r>
      <w:r w:rsidRPr="008C1895">
        <w:rPr>
          <w:rFonts w:asciiTheme="minorHAnsi" w:hAnsiTheme="minorHAnsi"/>
        </w:rPr>
        <w:t xml:space="preserve"> - Geographic Distribution </w:t>
      </w:r>
    </w:p>
    <w:p w:rsidRPr="00ED22E1" w:rsidR="00777D08" w:rsidRDefault="00777D08" w14:paraId="02EA0647" w14:textId="77777777">
      <w:pPr>
        <w:spacing w:after="0" w:line="240" w:lineRule="auto"/>
        <w:rPr>
          <w:b/>
          <w:sz w:val="24"/>
          <w:szCs w:val="24"/>
          <w:highlight w:val="lightGray"/>
        </w:rPr>
      </w:pPr>
    </w:p>
    <w:p w:rsidRPr="00BE3E43" w:rsidR="00777D08" w:rsidRDefault="00211F76" w14:paraId="66FF8079" w14:textId="77777777">
      <w:pPr>
        <w:keepNext/>
        <w:widowControl w:val="0"/>
        <w:rPr>
          <w:b/>
          <w:sz w:val="24"/>
          <w:szCs w:val="24"/>
        </w:rPr>
      </w:pPr>
      <w:r w:rsidRPr="00BE3E43">
        <w:rPr>
          <w:b/>
          <w:sz w:val="24"/>
          <w:szCs w:val="24"/>
        </w:rPr>
        <w:t xml:space="preserve">Rationale for the priorities for allocating investments geographically </w:t>
      </w:r>
    </w:p>
    <w:p w:rsidRPr="00BE3E43" w:rsidR="00777D08" w:rsidRDefault="00211F76" w14:paraId="72F08204" w14:textId="77777777">
      <w:pPr>
        <w:keepNext/>
        <w:widowControl w:val="0"/>
        <w:spacing w:beforeAutospacing="1" w:afterAutospacing="1"/>
        <w:rPr>
          <w:rFonts w:cs="Arial"/>
          <w:szCs w:val="24"/>
        </w:rPr>
      </w:pPr>
      <w:r w:rsidRPr="00BE3E43">
        <w:rPr>
          <w:rFonts w:cs="Arial"/>
        </w:rPr>
        <w:t>The rationale for allocating investments into the NRSA is based on the levels of distress and high incidence of households living below poverty level in those census tracts. According to the Needs Assessment in the Consolidated Plan, there is a disproportionate need existing among several minority groups, and specific census tracts housed more minorities than others. Special needs housing resources appear concentrated in the New North End as a "Naturally Occurring Retirement Community." However, CDBG and HOME resources may be directed outside of the target areas based on individual household needs and on the City's desire to continue to have affordable housing, economic opportunity and a suitable living environment available to low- and moderate-income residents throughout the City.</w:t>
      </w:r>
    </w:p>
    <w:p w:rsidRPr="00FA47FC" w:rsidR="00777D08" w:rsidRDefault="00211F76" w14:paraId="0FB8BF0E" w14:textId="77777777">
      <w:pPr>
        <w:keepNext/>
        <w:widowControl w:val="0"/>
        <w:spacing w:line="204" w:lineRule="auto"/>
        <w:rPr>
          <w:b/>
          <w:sz w:val="24"/>
          <w:szCs w:val="24"/>
        </w:rPr>
      </w:pPr>
      <w:r w:rsidRPr="00FA47FC">
        <w:rPr>
          <w:b/>
          <w:sz w:val="24"/>
          <w:szCs w:val="24"/>
        </w:rPr>
        <w:t>Discussion</w:t>
      </w:r>
    </w:p>
    <w:p w:rsidR="00611443" w:rsidRDefault="00211F76" w14:paraId="71FB656B" w14:textId="77777777">
      <w:pPr>
        <w:keepNext/>
        <w:widowControl w:val="0"/>
        <w:spacing w:beforeAutospacing="1" w:afterAutospacing="1"/>
        <w:rPr>
          <w:b/>
          <w:sz w:val="24"/>
          <w:szCs w:val="24"/>
          <w:highlight w:val="lightGray"/>
        </w:rPr>
      </w:pPr>
      <w:r w:rsidRPr="000A17B8">
        <w:rPr>
          <w:rFonts w:cs="Arial"/>
        </w:rPr>
        <w:t xml:space="preserve">Estimates of the number of low/moderate income individuals by block group based on the 2011 – 2015 </w:t>
      </w:r>
      <w:r w:rsidRPr="000A17B8">
        <w:rPr>
          <w:rFonts w:cs="Arial"/>
        </w:rPr>
        <w:lastRenderedPageBreak/>
        <w:t xml:space="preserve">American Community Survey is displayed as an appendix.  HUD has directed CDBG recipients to use this data to identify areas with over 51% </w:t>
      </w:r>
      <w:r w:rsidRPr="000A17B8" w:rsidR="000A17B8">
        <w:rPr>
          <w:rFonts w:cs="Arial"/>
        </w:rPr>
        <w:t>low- and moderate-income</w:t>
      </w:r>
      <w:r w:rsidRPr="000A17B8">
        <w:rPr>
          <w:rFonts w:cs="Arial"/>
        </w:rPr>
        <w:t xml:space="preserve"> persons. </w:t>
      </w:r>
      <w:r w:rsidRPr="00ED22E1">
        <w:rPr>
          <w:rFonts w:cs="Arial"/>
          <w:highlight w:val="lightGray"/>
        </w:rPr>
        <w:br/>
      </w:r>
      <w:r w:rsidRPr="00ED22E1">
        <w:rPr>
          <w:rFonts w:cs="Arial"/>
          <w:highlight w:val="lightGray"/>
        </w:rPr>
        <w:t xml:space="preserve"> </w:t>
      </w:r>
    </w:p>
    <w:p w:rsidRPr="00FA47FC" w:rsidR="00777D08" w:rsidRDefault="00211F76" w14:paraId="5EEA03D9" w14:textId="758C12D8">
      <w:pPr>
        <w:keepNext/>
        <w:widowControl w:val="0"/>
        <w:spacing w:beforeAutospacing="1" w:afterAutospacing="1"/>
        <w:rPr>
          <w:b/>
          <w:sz w:val="24"/>
          <w:szCs w:val="24"/>
        </w:rPr>
      </w:pPr>
      <w:r w:rsidRPr="00FA47FC">
        <w:rPr>
          <w:rFonts w:cs="Arial"/>
        </w:rPr>
        <w:t>The most significant reductions in low</w:t>
      </w:r>
      <w:r w:rsidRPr="00FA47FC" w:rsidR="00FA47FC">
        <w:rPr>
          <w:rFonts w:cs="Arial"/>
        </w:rPr>
        <w:t>-</w:t>
      </w:r>
      <w:r w:rsidRPr="00FA47FC">
        <w:rPr>
          <w:rFonts w:cs="Arial"/>
        </w:rPr>
        <w:t xml:space="preserve"> and moderate</w:t>
      </w:r>
      <w:r w:rsidRPr="00FA47FC" w:rsidR="00FA47FC">
        <w:rPr>
          <w:rFonts w:cs="Arial"/>
        </w:rPr>
        <w:t>-</w:t>
      </w:r>
      <w:r w:rsidRPr="00FA47FC">
        <w:rPr>
          <w:rFonts w:cs="Arial"/>
        </w:rPr>
        <w:t>income populations occur in Census Tracts 39 and 10. Census Tract 39, Block Group 3, saw a significant reduction in the percentage of low/moderate income residents, dropping from 100% to 66.67%, the widest decreasing percentage margin across all tracts. Census Tract 10, Block Group 1, also saw a notable decline in low/moderate income residents, from 77.37% to 58.47%. A considerable reduction in low/moderate income residents also took place in Census Tract 3, Block 2; 62.15% of residents are low/moderate income compared to 77.74% in the 2010 census.</w:t>
      </w:r>
      <w:r w:rsidRPr="00FA47FC">
        <w:rPr>
          <w:rFonts w:cs="Arial"/>
        </w:rPr>
        <w:br/>
      </w:r>
      <w:r w:rsidRPr="00FA47FC">
        <w:rPr>
          <w:rFonts w:cs="Arial"/>
        </w:rPr>
        <w:t xml:space="preserve">  </w:t>
      </w:r>
      <w:r w:rsidRPr="00FA47FC">
        <w:rPr>
          <w:rFonts w:cs="Arial"/>
        </w:rPr>
        <w:br/>
      </w:r>
      <w:r w:rsidRPr="00FA47FC">
        <w:rPr>
          <w:rFonts w:cs="Arial"/>
        </w:rPr>
        <w:t xml:space="preserve"> However, some neighborhoods, particularly Census Tracts 2 and 5, have seen a moderate surge in low/moderate income population counts. Census Tract 2, Block Group 1, has experienced a 12.21% increase in low/moderate income residents, and Block Group 4 has increased 12.70%.  Census Tract 5, Block Group 3 has seen an increase in low/moderate income persons from 81.3% to 88.24% - the highest percentage in Chittenden County. Overall, the citywide percentage of low/moderate income residents remained the same at 59.7%, suggesting a notable disparity in income demographics and income progress in different regions of the city in recent years, particularly among tracts identified as Neighborhood Revitalization Strategy Areas.</w:t>
      </w:r>
    </w:p>
    <w:p w:rsidRPr="00ED22E1" w:rsidR="00777D08" w:rsidRDefault="00777D08" w14:paraId="52A2761F" w14:textId="77777777">
      <w:pPr>
        <w:rPr>
          <w:rFonts w:cs="Arial"/>
          <w:highlight w:val="lightGray"/>
        </w:rPr>
      </w:pPr>
    </w:p>
    <w:p w:rsidRPr="00ED22E1" w:rsidR="00777D08" w:rsidRDefault="00211F76" w14:paraId="3D9A5861" w14:textId="77777777">
      <w:pPr>
        <w:pStyle w:val="Heading1"/>
        <w:pageBreakBefore/>
        <w:jc w:val="center"/>
        <w:rPr>
          <w:rFonts w:ascii="Calibri" w:hAnsi="Calibri"/>
          <w:color w:val="auto"/>
          <w:sz w:val="32"/>
          <w:szCs w:val="32"/>
        </w:rPr>
      </w:pPr>
      <w:r w:rsidRPr="1CF91A84">
        <w:rPr>
          <w:rFonts w:ascii="Calibri" w:hAnsi="Calibri"/>
          <w:color w:val="auto"/>
          <w:sz w:val="32"/>
          <w:szCs w:val="32"/>
        </w:rPr>
        <w:lastRenderedPageBreak/>
        <w:t xml:space="preserve">Affordable Housing </w:t>
      </w:r>
    </w:p>
    <w:p w:rsidRPr="00ED22E1" w:rsidR="00777D08" w:rsidRDefault="00211F76" w14:paraId="653D6843" w14:textId="1903AF6C">
      <w:pPr>
        <w:pStyle w:val="Heading2"/>
        <w:widowControl w:val="0"/>
        <w:rPr>
          <w:rFonts w:ascii="Calibri" w:hAnsi="Calibri"/>
          <w:i w:val="0"/>
        </w:rPr>
      </w:pPr>
      <w:r w:rsidRPr="1CF91A84">
        <w:rPr>
          <w:rFonts w:ascii="Calibri" w:hAnsi="Calibri"/>
          <w:i w:val="0"/>
        </w:rPr>
        <w:t xml:space="preserve">AP-55 Affordable Housing – 91.220(g) </w:t>
      </w:r>
    </w:p>
    <w:p w:rsidRPr="00ED22E1" w:rsidR="00777D08" w:rsidRDefault="00211F76" w14:paraId="7FD5C92C" w14:textId="77777777">
      <w:pPr>
        <w:keepNext/>
        <w:widowControl w:val="0"/>
        <w:spacing w:line="204" w:lineRule="auto"/>
        <w:rPr>
          <w:b/>
          <w:sz w:val="28"/>
          <w:szCs w:val="28"/>
        </w:rPr>
      </w:pPr>
      <w:r w:rsidRPr="1CF91A84">
        <w:rPr>
          <w:b/>
          <w:sz w:val="24"/>
          <w:szCs w:val="24"/>
        </w:rPr>
        <w:t>Introduction</w:t>
      </w:r>
    </w:p>
    <w:p w:rsidRPr="00ED22E1" w:rsidR="00777D08" w:rsidRDefault="00211F76" w14:paraId="4793A055" w14:textId="77777777">
      <w:pPr>
        <w:keepNext/>
        <w:widowControl w:val="0"/>
        <w:spacing w:beforeAutospacing="1" w:afterAutospacing="1"/>
        <w:rPr>
          <w:b/>
          <w:sz w:val="24"/>
          <w:szCs w:val="24"/>
        </w:rPr>
      </w:pPr>
      <w:r>
        <w:t xml:space="preserve">Housing is the essence of Burlington's neighborhoods. Support for affordable housing allows elders to remain in the homes and neighborhoods they know. Homebuyer purchase and rehabilitation programs allow the next generation of residents to own and modernize older homes. </w:t>
      </w:r>
    </w:p>
    <w:p w:rsidRPr="00ED22E1" w:rsidR="00777D08" w:rsidP="006C7269" w:rsidRDefault="00211F76" w14:paraId="057AC6C2" w14:textId="77777777">
      <w:pPr>
        <w:keepNext/>
        <w:widowControl w:val="0"/>
        <w:spacing w:before="100" w:beforeAutospacing="1" w:after="100" w:afterAutospacing="1"/>
        <w:rPr>
          <w:b/>
          <w:sz w:val="24"/>
          <w:szCs w:val="24"/>
        </w:rPr>
      </w:pPr>
      <w:r>
        <w:t xml:space="preserve">Affordable housing is a balance to economic development. In boom times, affordable housing ensures that there is housing for workers and that rising prices do not displace residents. In a troubled economy, affordable housing development is an economic engine and its subsidies ensure that low-income residents are not made homeless. Finally, the use of affordable housing to redevelop distressed neighborhoods prevents the loss of value of the surrounding properties and encourages long-term investment by other property owners. </w:t>
      </w:r>
    </w:p>
    <w:p w:rsidRPr="00ED22E1" w:rsidR="00777D08" w:rsidRDefault="00211F76" w14:paraId="5227A6D7" w14:textId="77777777">
      <w:pPr>
        <w:keepNext/>
        <w:widowControl w:val="0"/>
        <w:spacing w:beforeAutospacing="1" w:afterAutospacing="1"/>
        <w:rPr>
          <w:b/>
          <w:sz w:val="24"/>
          <w:szCs w:val="24"/>
        </w:rPr>
      </w:pPr>
      <w:r>
        <w:t>This section of the Action Plan specifies the goals for the number of homeless, non-homeless, and special needs households to be provided affordable housing within the program year.</w:t>
      </w:r>
    </w:p>
    <w:p w:rsidR="00777D08" w:rsidP="7FFC862B" w:rsidRDefault="00211F76" w14:paraId="0037B3A7" w14:textId="697020FF">
      <w:pPr>
        <w:spacing w:line="204" w:lineRule="auto"/>
      </w:pPr>
      <w:bookmarkStart w:name="_Hlk68004918" w:id="11"/>
      <w:r w:rsidRPr="7FFC862B">
        <w:rPr>
          <w:rFonts w:cs="Calibri"/>
          <w:b/>
          <w:sz w:val="24"/>
          <w:szCs w:val="24"/>
        </w:rPr>
        <w:t>Discussion</w:t>
      </w:r>
    </w:p>
    <w:p w:rsidR="00777D08" w:rsidP="7FFC862B" w:rsidRDefault="00211F76" w14:paraId="29037D43" w14:textId="731A4219">
      <w:pPr>
        <w:spacing w:line="257" w:lineRule="auto"/>
        <w:rPr>
          <w:rFonts w:asciiTheme="minorHAnsi" w:hAnsiTheme="minorHAnsi" w:eastAsiaTheme="minorEastAsia" w:cstheme="minorBidi"/>
        </w:rPr>
      </w:pPr>
      <w:r w:rsidRPr="0198568D">
        <w:rPr>
          <w:rFonts w:asciiTheme="minorHAnsi" w:hAnsiTheme="minorHAnsi" w:eastAsiaTheme="minorEastAsia" w:cstheme="minorBidi"/>
        </w:rPr>
        <w:t>All the citizens of Burlington have the right to live and raise their families in homes that are safe and sound, at a cost that allows them to afford the other necessities of life. The free market for housing is often not a fair market for low-income residents, including the elderly and disabled, as well as many workers whose wages have not kept up with housing costs. Without rehabilitation and/or general housing assistance, housing conditions will deteriorate or become expensive to maintain and push people from their homes and leave others with no homes at all.</w:t>
      </w:r>
    </w:p>
    <w:p w:rsidR="00777D08" w:rsidP="7FFC862B" w:rsidRDefault="6D66F954" w14:paraId="1E1D4B21" w14:textId="53FA6C6E">
      <w:pPr>
        <w:spacing w:line="257" w:lineRule="auto"/>
        <w:rPr>
          <w:rFonts w:asciiTheme="minorHAnsi" w:hAnsiTheme="minorHAnsi" w:eastAsiaTheme="minorEastAsia" w:cstheme="minorBidi"/>
        </w:rPr>
      </w:pPr>
      <w:r w:rsidRPr="0198568D">
        <w:rPr>
          <w:rFonts w:asciiTheme="minorHAnsi" w:hAnsiTheme="minorHAnsi" w:eastAsiaTheme="minorEastAsia" w:cstheme="minorBidi"/>
        </w:rPr>
        <w:t>PlanBTV</w:t>
      </w:r>
      <w:r w:rsidRPr="0198568D" w:rsidR="00211F76">
        <w:rPr>
          <w:rFonts w:asciiTheme="minorHAnsi" w:hAnsiTheme="minorHAnsi" w:eastAsiaTheme="minorEastAsia" w:cstheme="minorBidi"/>
        </w:rPr>
        <w:t>, a product of the HUD Sustainable Communities Initiative Planning Grant, emphasizes ways to promote/improve mixed use and quality urban design, affordable and workforce housing and especially housing for the downtown. In addition, the City also participated in the regional HUD Sustainable Communities grant, the ECOS Plan, to integrate housing, land use, economic and workforce development, transportation and infrastructure investments. Ensuring the availability of a continuum of housing, for all residents of Burlington, continues to be a top priority for the City.</w:t>
      </w:r>
    </w:p>
    <w:p w:rsidR="00777D08" w:rsidP="7FFC862B" w:rsidRDefault="00211F76" w14:paraId="1F278171" w14:textId="06BE24C9">
      <w:pPr>
        <w:spacing w:line="257" w:lineRule="auto"/>
        <w:rPr>
          <w:rFonts w:asciiTheme="minorHAnsi" w:hAnsiTheme="minorHAnsi" w:eastAsiaTheme="minorEastAsia" w:cstheme="minorBidi"/>
        </w:rPr>
      </w:pPr>
      <w:r w:rsidRPr="0198568D">
        <w:rPr>
          <w:rFonts w:asciiTheme="minorHAnsi" w:hAnsiTheme="minorHAnsi" w:eastAsiaTheme="minorEastAsia" w:cstheme="minorBidi"/>
        </w:rPr>
        <w:t xml:space="preserve">In the Mayor's and City Council's Housing Action Plan (HAP), 22 initiatives were outlined to decrease the cost of housing, increase the supply of housing and ensure Burlington is more affordable, inclusive, livable, walkable, sustainable, and vibrant for all its residents. </w:t>
      </w:r>
      <w:r w:rsidRPr="0198568D" w:rsidR="6D66F954">
        <w:rPr>
          <w:rFonts w:asciiTheme="minorHAnsi" w:hAnsiTheme="minorHAnsi" w:eastAsiaTheme="minorEastAsia" w:cstheme="minorBidi"/>
        </w:rPr>
        <w:t xml:space="preserve">Since the passage of the HAP in October 2015, the City has made substantial progress. Specifically, the Burlington Housing Trust Fund was funded at almost twice its historic level, providing additional support for the preservation of affordable housing. Additionally, in November 2017, the City adopted planBTV: Downtown Code, the new downtown form-based code aimed at reducing uncertainty of development permits and encouraging new housing investment. Progress continued too, between the City and its partners – the University of Vermont and Champlain College in the pursuit of strategies for housing more of its college students and improving the </w:t>
      </w:r>
      <w:r w:rsidRPr="0198568D" w:rsidR="6D66F954">
        <w:rPr>
          <w:rFonts w:asciiTheme="minorHAnsi" w:hAnsiTheme="minorHAnsi" w:eastAsiaTheme="minorEastAsia" w:cstheme="minorBidi"/>
        </w:rPr>
        <w:lastRenderedPageBreak/>
        <w:t xml:space="preserve">quality of life in near-campus neighborhoods and reducing pressure on rents. Over the past four years, these institutions have each built new on-campus housing for about 300 students. </w:t>
      </w:r>
    </w:p>
    <w:p w:rsidR="6D66F954" w:rsidP="7FFC862B" w:rsidRDefault="6D66F954" w14:paraId="1AD7B39C" w14:textId="4DCC7DA7">
      <w:pPr>
        <w:jc w:val="both"/>
        <w:rPr>
          <w:rFonts w:asciiTheme="minorHAnsi" w:hAnsiTheme="minorHAnsi" w:eastAsiaTheme="minorEastAsia" w:cstheme="minorBidi"/>
        </w:rPr>
      </w:pPr>
      <w:r w:rsidRPr="0198568D">
        <w:rPr>
          <w:rFonts w:asciiTheme="minorHAnsi" w:hAnsiTheme="minorHAnsi" w:eastAsiaTheme="minorEastAsia" w:cstheme="minorBidi"/>
        </w:rPr>
        <w:t>In 2019, with the view to bringing renewed focus and urgency to Burlington’s affordable housing challenge, the Mayor convened two well-attended Housing Summits around five housing policy reforms, key areas of unfinished business from the City’s 2015 Housing Action Plan (HAP). Later that year, these housing policy reforms were presented to the City Council for action. Since then, four of the five proposals have been approved, with the fifth proposal – implementing new regulations for short-term rentals-- at an advanced stage of committee discussion.</w:t>
      </w:r>
    </w:p>
    <w:p w:rsidR="6D66F954" w:rsidP="7FFC862B" w:rsidRDefault="6D66F954" w14:paraId="132AB210" w14:textId="1506CD48">
      <w:pPr>
        <w:jc w:val="both"/>
        <w:rPr>
          <w:rFonts w:asciiTheme="minorHAnsi" w:hAnsiTheme="minorHAnsi" w:eastAsiaTheme="minorEastAsia" w:cstheme="minorBidi"/>
        </w:rPr>
      </w:pPr>
      <w:r w:rsidRPr="0198568D">
        <w:rPr>
          <w:rFonts w:asciiTheme="minorHAnsi" w:hAnsiTheme="minorHAnsi" w:eastAsiaTheme="minorEastAsia" w:cstheme="minorBidi"/>
        </w:rPr>
        <w:t>The policy changes around the four proposals that have been adopted relate to (i) Accessory Dwelling Units (ADUs) which make it easier for people to create ADUs and offers more flexibility for families to age in place, offset housing costs for homes and create additional neighborhood-scale housing options throughout the City; (ii) Housing Trust Fund, that restores and increases the level of dedicated funding to Burlington’s HTF, which supports the creation and preservation of permanently affordable housing. While Burlington voters overwhelming approved this increase in March 2020, the City delayed implementing this increase in Fiscal Year 2021 in recognition of the financial impact that Covid-19 had on many residents. The Administration plans to implement this increase in Fiscal Year 2022; (iii) Parking minimums which reform the City’s requirements for building new parking in residential developments in the downtown and along key transportation corridors, in order to reduce a major cost driver of housing, give people more choices when it comes to the cost of car ownership and take a step toward aligning the City’s land use policies with its climate goals. Since the adoption of this policy reform in September 2020, two significant projects have applied for permits to create housing that would benefit from this policy change, for a combined 490 new homes; (iv) Energy efficiency standards in rental housing updated in order to support Burlington’s climate goals and protect renters from unreasonably high utility costs. The fifth policy change which relates to new regulations for short-term rentals like Airbnb, to reduce impacts on long-term housing availability and neighborhoods, is currently being considered by the Joint Committee of the Planning Commission and the City Council Ordinance Committee.</w:t>
      </w:r>
    </w:p>
    <w:p w:rsidRPr="0067748D" w:rsidR="00777D08" w:rsidP="0067748D" w:rsidRDefault="6D66F954" w14:paraId="30D81FAA" w14:textId="4F2C367F">
      <w:pPr>
        <w:spacing w:line="257" w:lineRule="auto"/>
        <w:rPr>
          <w:rFonts w:asciiTheme="minorHAnsi" w:hAnsiTheme="minorHAnsi" w:eastAsiaTheme="minorEastAsia" w:cstheme="minorBidi"/>
        </w:rPr>
      </w:pPr>
      <w:r w:rsidRPr="0198568D">
        <w:rPr>
          <w:rFonts w:asciiTheme="minorHAnsi" w:hAnsiTheme="minorHAnsi" w:eastAsiaTheme="minorEastAsia" w:cstheme="minorBidi"/>
          <w:b/>
        </w:rPr>
        <w:t xml:space="preserve"> </w:t>
      </w:r>
      <w:r w:rsidRPr="0198568D">
        <w:rPr>
          <w:rFonts w:asciiTheme="minorHAnsi" w:hAnsiTheme="minorHAnsi" w:eastAsiaTheme="minorEastAsia" w:cstheme="minorBidi"/>
        </w:rPr>
        <w:t>AFH Goals - With CDBG, HOME, and City Housing Trust Funds, the City will continue to invest in affordable housing goals to preserve and increase the number of affordable units. The City will also assist with the repair or rehabilitation of at least 5 owner-occupied homes. In 2019 and after a three-year process, the City updated its inclusionary zoning ordinance. Between 2020-2022, there will be continued preservation work at North Ave Cooperative.</w:t>
      </w:r>
      <w:bookmarkEnd w:id="11"/>
    </w:p>
    <w:p w:rsidRPr="00743A27" w:rsidR="00A4410A" w:rsidP="00A4410A" w:rsidRDefault="00A4410A" w14:paraId="6E7D3396" w14:textId="77777777">
      <w:pPr>
        <w:pStyle w:val="Heading2"/>
        <w:pageBreakBefore/>
        <w:widowControl w:val="0"/>
        <w:rPr>
          <w:rFonts w:asciiTheme="minorHAnsi" w:hAnsiTheme="minorHAnsi" w:cstheme="minorHAnsi"/>
          <w:i w:val="0"/>
        </w:rPr>
      </w:pPr>
      <w:r w:rsidRPr="00743A27">
        <w:rPr>
          <w:rFonts w:asciiTheme="minorHAnsi" w:hAnsiTheme="minorHAnsi" w:cstheme="minorHAnsi"/>
          <w:i w:val="0"/>
        </w:rPr>
        <w:lastRenderedPageBreak/>
        <w:t xml:space="preserve">AP-60 Public Housing </w:t>
      </w:r>
      <w:r w:rsidRPr="00743A27">
        <w:rPr>
          <w:rFonts w:asciiTheme="minorHAnsi" w:hAnsiTheme="minorHAnsi" w:cstheme="minorHAnsi"/>
        </w:rPr>
        <w:t>–</w:t>
      </w:r>
      <w:r w:rsidRPr="00743A27">
        <w:rPr>
          <w:rFonts w:asciiTheme="minorHAnsi" w:hAnsiTheme="minorHAnsi" w:cstheme="minorHAnsi"/>
          <w:i w:val="0"/>
        </w:rPr>
        <w:t xml:space="preserve"> 91.220(h)</w:t>
      </w:r>
    </w:p>
    <w:p w:rsidRPr="00C71325" w:rsidR="00A4410A" w:rsidP="00A4410A" w:rsidRDefault="00A4410A" w14:paraId="5430E179" w14:textId="77777777">
      <w:pPr>
        <w:keepNext/>
        <w:widowControl w:val="0"/>
        <w:spacing w:line="204" w:lineRule="auto"/>
        <w:rPr>
          <w:b/>
          <w:sz w:val="24"/>
          <w:szCs w:val="24"/>
        </w:rPr>
      </w:pPr>
      <w:r w:rsidRPr="00C71325">
        <w:rPr>
          <w:b/>
          <w:sz w:val="24"/>
          <w:szCs w:val="24"/>
        </w:rPr>
        <w:t>Introduction</w:t>
      </w:r>
    </w:p>
    <w:p w:rsidRPr="00C71325" w:rsidR="00A4410A" w:rsidP="00A4410A" w:rsidRDefault="00A4410A" w14:paraId="7246D305" w14:textId="77777777">
      <w:pPr>
        <w:keepNext/>
        <w:widowControl w:val="0"/>
        <w:spacing w:beforeAutospacing="1" w:afterAutospacing="1"/>
        <w:rPr>
          <w:b/>
          <w:sz w:val="24"/>
          <w:szCs w:val="24"/>
        </w:rPr>
      </w:pPr>
      <w:r w:rsidRPr="00C71325">
        <w:rPr>
          <w:rFonts w:cs="Arial"/>
        </w:rPr>
        <w:t>The Burlington Housing Authority completed the conversion of its public housing units to the Section 8 Project-Based Voucher Program through the HUD Rental Assistance Demonstration (RAD) program. Our jurisdiction no longer has any public housing units.</w:t>
      </w:r>
    </w:p>
    <w:p w:rsidRPr="00C71325" w:rsidR="00A4410A" w:rsidP="00A4410A" w:rsidRDefault="00A4410A" w14:paraId="221A4E85" w14:textId="77777777">
      <w:pPr>
        <w:keepNext/>
        <w:widowControl w:val="0"/>
        <w:rPr>
          <w:b/>
          <w:sz w:val="24"/>
          <w:szCs w:val="24"/>
        </w:rPr>
      </w:pPr>
      <w:r w:rsidRPr="00C71325">
        <w:rPr>
          <w:b/>
          <w:sz w:val="24"/>
          <w:szCs w:val="24"/>
        </w:rPr>
        <w:t>Actions planned during the next year to address the needs to public housing</w:t>
      </w:r>
    </w:p>
    <w:p w:rsidRPr="00C71325" w:rsidR="00A4410A" w:rsidP="00A4410A" w:rsidRDefault="00A4410A" w14:paraId="664306C7" w14:textId="77777777">
      <w:pPr>
        <w:keepNext/>
        <w:widowControl w:val="0"/>
        <w:spacing w:beforeAutospacing="1" w:afterAutospacing="1"/>
        <w:rPr>
          <w:rFonts w:cs="Arial"/>
        </w:rPr>
      </w:pPr>
      <w:r w:rsidRPr="00C71325">
        <w:rPr>
          <w:rFonts w:cs="Arial"/>
        </w:rPr>
        <w:t>Our jurisdiction no longer has any public housing units.</w:t>
      </w:r>
    </w:p>
    <w:p w:rsidRPr="00C71325" w:rsidR="00A4410A" w:rsidP="00A4410A" w:rsidRDefault="00A4410A" w14:paraId="3467DE8E" w14:textId="77777777">
      <w:pPr>
        <w:keepNext/>
        <w:widowControl w:val="0"/>
        <w:rPr>
          <w:b/>
          <w:sz w:val="24"/>
          <w:szCs w:val="24"/>
        </w:rPr>
      </w:pPr>
      <w:r w:rsidRPr="00C71325">
        <w:rPr>
          <w:b/>
          <w:sz w:val="24"/>
          <w:szCs w:val="24"/>
        </w:rPr>
        <w:t>Actions to encourage public housing residents to become more involved in management and participate in homeownership</w:t>
      </w:r>
    </w:p>
    <w:p w:rsidRPr="00C71325" w:rsidR="00A4410A" w:rsidP="00A4410A" w:rsidRDefault="00A4410A" w14:paraId="0FD1B465" w14:textId="77777777">
      <w:pPr>
        <w:keepNext/>
        <w:widowControl w:val="0"/>
        <w:spacing w:beforeAutospacing="1" w:afterAutospacing="1"/>
        <w:rPr>
          <w:rFonts w:cs="Arial"/>
        </w:rPr>
      </w:pPr>
      <w:r w:rsidRPr="00C71325">
        <w:rPr>
          <w:rFonts w:cs="Arial"/>
        </w:rPr>
        <w:t>BHA has formed a Resident Advisory Board (RAB) with representatives from the Section 8 program.  The RAB meets periodically to provide input on BHA’s Plans and Policies. BHA will provide continuing financial and staff support to any active resident association in its properties. One BHA program participant serves on the BHA Board of Commissioners.</w:t>
      </w:r>
    </w:p>
    <w:p w:rsidRPr="00C71325" w:rsidR="00A4410A" w:rsidP="00A4410A" w:rsidRDefault="00A4410A" w14:paraId="7B02531D" w14:textId="77777777">
      <w:pPr>
        <w:keepNext/>
        <w:widowControl w:val="0"/>
        <w:spacing w:beforeAutospacing="1" w:afterAutospacing="1"/>
        <w:rPr>
          <w:rFonts w:cs="Arial"/>
        </w:rPr>
      </w:pPr>
      <w:r w:rsidRPr="00C71325">
        <w:rPr>
          <w:rFonts w:cs="Arial"/>
        </w:rPr>
        <w:t>BHA supports the Section 8 Homeownership Program.</w:t>
      </w:r>
    </w:p>
    <w:p w:rsidRPr="00C71325" w:rsidR="00A4410A" w:rsidP="00A4410A" w:rsidRDefault="00A4410A" w14:paraId="233B8A3B" w14:textId="77777777">
      <w:pPr>
        <w:keepNext/>
        <w:widowControl w:val="0"/>
        <w:spacing w:beforeAutospacing="1" w:afterAutospacing="1"/>
        <w:rPr>
          <w:rFonts w:cs="Arial"/>
        </w:rPr>
      </w:pPr>
      <w:r w:rsidRPr="00C71325">
        <w:rPr>
          <w:rFonts w:cs="Arial"/>
        </w:rPr>
        <w:t>BHA endeavors to provide a good living environment in its affordable housing developments through effective screening and strict lease enforcement. In addition to the Family Self-Sufficiency program, the Burlington Housing Authority supports programs such as the DREAM mentoring program and the Summer Lunch program. BHA has also initiated a Housing Retention program to work with residents who are at risk of losing their housing.</w:t>
      </w:r>
    </w:p>
    <w:p w:rsidRPr="00C71325" w:rsidR="00A4410A" w:rsidP="00A4410A" w:rsidRDefault="00A4410A" w14:paraId="3E32B54D" w14:textId="77777777">
      <w:pPr>
        <w:keepNext/>
        <w:widowControl w:val="0"/>
        <w:rPr>
          <w:b/>
          <w:sz w:val="24"/>
          <w:szCs w:val="24"/>
        </w:rPr>
      </w:pPr>
      <w:r w:rsidRPr="00C71325">
        <w:rPr>
          <w:b/>
          <w:sz w:val="24"/>
          <w:szCs w:val="24"/>
        </w:rPr>
        <w:t xml:space="preserve">If the PHA is designated as troubled, describe the manner in which financial assistance will be provided or other assistance </w:t>
      </w:r>
    </w:p>
    <w:p w:rsidRPr="00C71325" w:rsidR="00A4410A" w:rsidP="00A4410A" w:rsidRDefault="00A4410A" w14:paraId="3A6229D5" w14:textId="77777777">
      <w:pPr>
        <w:keepNext/>
        <w:widowControl w:val="0"/>
        <w:spacing w:beforeAutospacing="1" w:afterAutospacing="1"/>
        <w:rPr>
          <w:rFonts w:cs="Arial"/>
          <w:szCs w:val="26"/>
        </w:rPr>
      </w:pPr>
      <w:r w:rsidRPr="00C71325">
        <w:rPr>
          <w:rFonts w:cs="Arial"/>
        </w:rPr>
        <w:t>The Burlington Housing Authority is not designated as troubled.</w:t>
      </w:r>
    </w:p>
    <w:p w:rsidRPr="00C71325" w:rsidR="00A4410A" w:rsidP="00A4410A" w:rsidRDefault="00A4410A" w14:paraId="62EBA891" w14:textId="77777777">
      <w:pPr>
        <w:keepNext/>
        <w:widowControl w:val="0"/>
        <w:spacing w:line="204" w:lineRule="auto"/>
        <w:rPr>
          <w:b/>
          <w:sz w:val="24"/>
          <w:szCs w:val="24"/>
        </w:rPr>
      </w:pPr>
      <w:r w:rsidRPr="00C71325">
        <w:rPr>
          <w:b/>
          <w:sz w:val="24"/>
          <w:szCs w:val="24"/>
        </w:rPr>
        <w:t>Discussion</w:t>
      </w:r>
    </w:p>
    <w:p w:rsidRPr="00C71325" w:rsidR="00A4410A" w:rsidP="00A4410A" w:rsidRDefault="00A4410A" w14:paraId="05AEBADD" w14:textId="77777777">
      <w:pPr>
        <w:keepNext/>
        <w:widowControl w:val="0"/>
        <w:spacing w:beforeAutospacing="1" w:afterAutospacing="1"/>
        <w:rPr>
          <w:b/>
          <w:sz w:val="24"/>
          <w:szCs w:val="24"/>
        </w:rPr>
      </w:pPr>
      <w:r w:rsidRPr="00C71325">
        <w:rPr>
          <w:rFonts w:cs="Arial"/>
        </w:rPr>
        <w:t xml:space="preserve">The City will work with BHA to increase funding for resident service programs for its program participants, including the Family Self-Sufficiency Program, youth mentoring, homeownership, homelessness prevention, independent living and service-enriched housing. </w:t>
      </w:r>
    </w:p>
    <w:p w:rsidRPr="00C71325" w:rsidR="00A4410A" w:rsidP="00A4410A" w:rsidRDefault="00A4410A" w14:paraId="1B437140" w14:textId="77777777">
      <w:pPr>
        <w:keepNext/>
        <w:widowControl w:val="0"/>
        <w:spacing w:beforeAutospacing="1" w:afterAutospacing="1"/>
        <w:rPr>
          <w:b/>
          <w:sz w:val="24"/>
          <w:szCs w:val="24"/>
        </w:rPr>
      </w:pPr>
      <w:r w:rsidRPr="00C71325">
        <w:rPr>
          <w:rFonts w:cs="Arial"/>
        </w:rPr>
        <w:t xml:space="preserve">BHA operates a very successful Section 8 Housing Choice Voucher Homeownership Option Program. Section 8 program participants are eligible and are encouraged to participate in this program. BHA’s Section 8 Mortgage Assistance Program has been in operation since 1999 with over 100 households successfully transitioning from renting to homeownership. The City supports the implementation and </w:t>
      </w:r>
      <w:r w:rsidRPr="00C71325">
        <w:rPr>
          <w:rFonts w:cs="Arial"/>
        </w:rPr>
        <w:lastRenderedPageBreak/>
        <w:t xml:space="preserve">continued availability of BHA's Section 8 Homeownership Option Program. </w:t>
      </w:r>
    </w:p>
    <w:p w:rsidRPr="00C71325" w:rsidR="00A4410A" w:rsidP="00A4410A" w:rsidRDefault="00A4410A" w14:paraId="055C6A3D" w14:textId="77777777">
      <w:pPr>
        <w:keepNext/>
        <w:widowControl w:val="0"/>
        <w:spacing w:beforeAutospacing="1" w:afterAutospacing="1"/>
        <w:rPr>
          <w:b/>
          <w:sz w:val="24"/>
          <w:szCs w:val="24"/>
        </w:rPr>
      </w:pPr>
      <w:r w:rsidRPr="00C71325">
        <w:rPr>
          <w:rFonts w:cs="Arial"/>
        </w:rPr>
        <w:t xml:space="preserve">The Burlington Housing Authority's Family Self-Sufficiency Program moves families toward economic self-sufficiency through access to career counseling, job training, child care and other services, and through escrow accounts with funds made available to participants at the end of the enrollment period. </w:t>
      </w:r>
    </w:p>
    <w:p w:rsidRPr="00705133" w:rsidR="00A4410A" w:rsidP="00A4410A" w:rsidRDefault="00A4410A" w14:paraId="45644C4C" w14:textId="77777777"/>
    <w:p w:rsidRPr="00D41BEF" w:rsidR="00204866" w:rsidP="00204866" w:rsidRDefault="00204866" w14:paraId="2D9D33BE" w14:textId="77777777">
      <w:pPr>
        <w:pStyle w:val="Heading2"/>
        <w:pageBreakBefore/>
        <w:widowControl w:val="0"/>
        <w:rPr>
          <w:rFonts w:ascii="Calibri" w:hAnsi="Calibri"/>
          <w:i w:val="0"/>
        </w:rPr>
      </w:pPr>
      <w:r w:rsidRPr="00D41BEF">
        <w:rPr>
          <w:rFonts w:ascii="Calibri" w:hAnsi="Calibri"/>
          <w:i w:val="0"/>
        </w:rPr>
        <w:lastRenderedPageBreak/>
        <w:t>AP-65 Homeless and Other Special Needs Activities – 91.220(i)</w:t>
      </w:r>
    </w:p>
    <w:p w:rsidRPr="00D41BEF" w:rsidR="00204866" w:rsidP="00204866" w:rsidRDefault="00204866" w14:paraId="02D6D3CC" w14:textId="77777777">
      <w:pPr>
        <w:keepNext/>
        <w:widowControl w:val="0"/>
        <w:spacing w:line="204" w:lineRule="auto"/>
        <w:rPr>
          <w:b/>
          <w:sz w:val="24"/>
          <w:szCs w:val="24"/>
        </w:rPr>
      </w:pPr>
      <w:r w:rsidRPr="00D41BEF">
        <w:rPr>
          <w:b/>
          <w:sz w:val="24"/>
          <w:szCs w:val="24"/>
        </w:rPr>
        <w:t>Introduction</w:t>
      </w:r>
    </w:p>
    <w:p w:rsidRPr="00D41BEF" w:rsidR="00204866" w:rsidP="00204866" w:rsidRDefault="00204866" w14:paraId="0687EF70" w14:textId="5EF81497">
      <w:pPr>
        <w:keepNext/>
        <w:widowControl w:val="0"/>
        <w:spacing w:beforeAutospacing="1" w:afterAutospacing="1"/>
        <w:rPr>
          <w:b/>
          <w:sz w:val="24"/>
          <w:szCs w:val="24"/>
        </w:rPr>
      </w:pPr>
      <w:r w:rsidRPr="00D41BEF">
        <w:rPr>
          <w:rFonts w:cs="Arial"/>
        </w:rPr>
        <w:t xml:space="preserve">In this section of the Plan, the City addresses the </w:t>
      </w:r>
      <w:r w:rsidRPr="00D41BEF" w:rsidR="00716AF1">
        <w:rPr>
          <w:rFonts w:cs="Arial"/>
        </w:rPr>
        <w:t>one-year</w:t>
      </w:r>
      <w:r w:rsidRPr="00D41BEF">
        <w:rPr>
          <w:rFonts w:cs="Arial"/>
        </w:rPr>
        <w:t xml:space="preserve"> goals and specific activities planned this program year to carry out the homeless strategy outlined in the Strategic Plan for the City's </w:t>
      </w:r>
      <w:r w:rsidRPr="00D41BEF" w:rsidR="00716AF1">
        <w:rPr>
          <w:rFonts w:cs="Arial"/>
        </w:rPr>
        <w:t>Five-Year</w:t>
      </w:r>
      <w:r w:rsidRPr="00D41BEF">
        <w:rPr>
          <w:rFonts w:cs="Arial"/>
        </w:rPr>
        <w:t xml:space="preserve"> Consolidated Plan. Activities that will address outreach, emergency shelter, transitional housing, homeless prevention, housing placement, supportive housing and independent living are listed below and under the project section. </w:t>
      </w:r>
      <w:r>
        <w:rPr>
          <w:rFonts w:cs="Arial"/>
        </w:rPr>
        <w:t>This section will be subject to change as the impact of the COVID-19 pandemic, associated recovery funds, and changes to emergency housing provision become evident in Spring of 2021.</w:t>
      </w:r>
    </w:p>
    <w:p w:rsidRPr="002C3EBA" w:rsidR="00204866" w:rsidP="00204866" w:rsidRDefault="00204866" w14:paraId="27F94341" w14:textId="77777777">
      <w:pPr>
        <w:keepNext/>
        <w:widowControl w:val="0"/>
        <w:spacing w:beforeAutospacing="1" w:afterAutospacing="1"/>
        <w:rPr>
          <w:rFonts w:cs="Arial"/>
        </w:rPr>
      </w:pPr>
      <w:r w:rsidRPr="00D41BEF">
        <w:rPr>
          <w:rFonts w:cs="Arial"/>
        </w:rPr>
        <w:t xml:space="preserve">The Continuum of Care coordinates the implementation of a housing and service system, from outreach to housing to services, to meet the goal of keeping homelessness rare and brief in our community. Street outreach and outreach caseworkers serve to reach the chronically homeless, identify services and housing needed. Vermont 211, daytime shelter and meals served at both the Chittenden Emergency Food Shelf and the Salvation Army provide points of contact for the homeless and referrals to services.  Housing providers work to rapidly re-house and stabilize, especially using the Housing First model, for the chronically homeless.  Supportive service providers add case management and assess needs for services. The Continuum as a whole has implemented a coordinated entry system </w:t>
      </w:r>
      <w:r w:rsidRPr="002C3EBA">
        <w:rPr>
          <w:rFonts w:cs="Arial"/>
        </w:rPr>
        <w:t>and standardized assessment to enhance the current service delivery system.</w:t>
      </w:r>
    </w:p>
    <w:p w:rsidRPr="008D7B31" w:rsidR="00204866" w:rsidP="00204866" w:rsidRDefault="00204866" w14:paraId="2095DB7D" w14:textId="77777777">
      <w:pPr>
        <w:keepNext/>
        <w:widowControl w:val="0"/>
        <w:spacing w:beforeAutospacing="1" w:afterAutospacing="1"/>
      </w:pPr>
      <w:r w:rsidRPr="008D7B31">
        <w:t>The CoC leads the coordination of response to the pandemic for the community of people experiencing homelessness in Chittenden County.  Regular coordination meetings occur, supporting consultation with State and local bodies for effective pandemic response to the large increase in our homeless population.</w:t>
      </w:r>
    </w:p>
    <w:p w:rsidRPr="00D41BEF" w:rsidR="00204866" w:rsidP="00204866" w:rsidRDefault="00204866" w14:paraId="30120E8F" w14:textId="77777777">
      <w:pPr>
        <w:keepNext/>
        <w:widowControl w:val="0"/>
        <w:spacing w:beforeAutospacing="1" w:afterAutospacing="1"/>
        <w:rPr>
          <w:b/>
          <w:sz w:val="24"/>
          <w:szCs w:val="24"/>
        </w:rPr>
      </w:pPr>
      <w:r w:rsidRPr="00D41BEF">
        <w:rPr>
          <w:rFonts w:cs="Arial"/>
        </w:rPr>
        <w:t>The City serves as the Collaborative Applicant for the Chittenden County Homeless Alliance (CoC) and supports its applications for HUD and other funding to address both chronic and non-chronic homelessness.   As part of the HUD Continuum of Care, the City and its Continuum partners have identified the need to better understand and improve performance measurements for participating agencies. The CoC implemented the Coordinated Entry System, has completed a review and reorganization of its governance structure to become Hearth Act compliant, and has implemented with the Balance of State a joint HMIS system resulting in increased HMIS participation.</w:t>
      </w:r>
    </w:p>
    <w:p w:rsidRPr="00D41BEF" w:rsidR="00204866" w:rsidP="00204866" w:rsidRDefault="00204866" w14:paraId="3FC5525D" w14:textId="77777777">
      <w:pPr>
        <w:keepNext/>
        <w:widowControl w:val="0"/>
        <w:spacing w:beforeAutospacing="1" w:afterAutospacing="1"/>
        <w:rPr>
          <w:b/>
          <w:sz w:val="24"/>
          <w:szCs w:val="24"/>
        </w:rPr>
      </w:pPr>
      <w:r w:rsidRPr="00D41BEF">
        <w:rPr>
          <w:rFonts w:cs="Arial"/>
        </w:rPr>
        <w:t xml:space="preserve"> In 2014 several agencies partnered together to implement a 100,000 Homes Registry Week for the Greater Burlington Area. With the assistance of over 60 volunteers 205 homeless individuals were surveyed using the Vulnerability Index and Service Prioritization Decision Assistance Tool. This tool allowed participants to assess the mortality risk for those homeless in the City.  Thirty percent of those surveyed scored at a high risk or chronic homeless.  As a result of this effort and a continued use of the VISPDAT, coordinated entry, prioritization for those most in need on our community wait list, Chittenden saw a dramatic decrease in the number of chronic homeless during the last four years PIT count. </w:t>
      </w:r>
      <w:r>
        <w:rPr>
          <w:rFonts w:cs="Arial"/>
        </w:rPr>
        <w:t xml:space="preserve">However, the current year PIT count is expected to reveal a large pandemic related increase in </w:t>
      </w:r>
      <w:r>
        <w:rPr>
          <w:rFonts w:cs="Arial"/>
        </w:rPr>
        <w:lastRenderedPageBreak/>
        <w:t>the number of people experiencing chronic homelessness.</w:t>
      </w:r>
    </w:p>
    <w:p w:rsidRPr="00D41BEF" w:rsidR="00204866" w:rsidP="00204866" w:rsidRDefault="00204866" w14:paraId="0FF583C8" w14:textId="77777777">
      <w:pPr>
        <w:keepNext/>
        <w:widowControl w:val="0"/>
        <w:rPr>
          <w:b/>
          <w:sz w:val="24"/>
          <w:szCs w:val="24"/>
        </w:rPr>
      </w:pPr>
      <w:r w:rsidRPr="00D41BEF">
        <w:rPr>
          <w:b/>
          <w:sz w:val="24"/>
          <w:szCs w:val="24"/>
        </w:rPr>
        <w:t>Describe the jurisdictions one-year goals and actions for reducing and ending homelessness including</w:t>
      </w:r>
    </w:p>
    <w:p w:rsidRPr="00D41BEF" w:rsidR="00204866" w:rsidP="00204866" w:rsidRDefault="00204866" w14:paraId="58CD3E1C" w14:textId="77777777">
      <w:pPr>
        <w:keepNext/>
        <w:widowControl w:val="0"/>
        <w:rPr>
          <w:b/>
          <w:sz w:val="24"/>
          <w:szCs w:val="24"/>
        </w:rPr>
      </w:pPr>
      <w:r w:rsidRPr="00D41BEF">
        <w:rPr>
          <w:b/>
          <w:sz w:val="24"/>
          <w:szCs w:val="24"/>
        </w:rPr>
        <w:t>Reaching out to homeless persons (especially unsheltered persons) and assessing their individual needs</w:t>
      </w:r>
    </w:p>
    <w:p w:rsidRPr="00D41BEF" w:rsidR="00204866" w:rsidP="00204866" w:rsidRDefault="00204866" w14:paraId="54D4A9B0" w14:textId="77777777">
      <w:pPr>
        <w:keepNext/>
        <w:widowControl w:val="0"/>
        <w:spacing w:beforeAutospacing="1" w:afterAutospacing="1"/>
        <w:rPr>
          <w:rFonts w:cs="Arial"/>
        </w:rPr>
      </w:pPr>
      <w:r w:rsidRPr="00D41BEF">
        <w:rPr>
          <w:rFonts w:cs="Arial"/>
        </w:rPr>
        <w:t>The Chittenden County Homeless Alliance (CCHA) serves the homeless in the Greater Burlington metropolitan area and direct services are delivered through a consortium of nonprofit organizations, faith-based organizations, housing developers, government agencies, and the Burlington Housing Authority.</w:t>
      </w:r>
      <w:r>
        <w:rPr>
          <w:rFonts w:cs="Arial"/>
        </w:rPr>
        <w:t xml:space="preserve">  </w:t>
      </w:r>
    </w:p>
    <w:p w:rsidRPr="00D41BEF" w:rsidR="00204866" w:rsidP="00204866" w:rsidRDefault="00204866" w14:paraId="7D7EA5E4" w14:textId="77777777">
      <w:pPr>
        <w:keepNext/>
        <w:widowControl w:val="0"/>
        <w:spacing w:beforeAutospacing="1" w:afterAutospacing="1"/>
        <w:rPr>
          <w:rFonts w:cs="Arial"/>
        </w:rPr>
      </w:pPr>
      <w:r w:rsidRPr="00D41BEF">
        <w:rPr>
          <w:rFonts w:cs="Arial"/>
        </w:rPr>
        <w:t>CCHA utilizes several outreach procedures to engage homeless individuals and families. These include services and outreach from the local food shelf, daytime drop-in shelter, and Salvation Army</w:t>
      </w:r>
      <w:r>
        <w:rPr>
          <w:rFonts w:cs="Arial"/>
        </w:rPr>
        <w:t>, supplemented this year by a daytime warming center</w:t>
      </w:r>
      <w:r w:rsidRPr="00D41BEF">
        <w:rPr>
          <w:rFonts w:cs="Arial"/>
        </w:rPr>
        <w:t>. A SAMHSA funded PATH grant funds outreach work in our community for two outreach positions to find and connect with the homeless who are mentally ill and difficult to engage, offering persons who are experiencing homelessness community-based services. A street outreach team, funded by our Police Department, Church Street Marketplace, City and local businesses, provides outreach to individuals, families with children, and youth sleeping on the streets in our downtown area. An Adult Local Interagency Team helps to identify unsheltered persons and provide consultation and expertise to help resolve difficult situations involving chronically homeless persons with multiple physical or emotional issues in securing and utilizing services. The goal of the team is to help keep these clients within the community and out of the correctional system, hospital, or residential services, while helping them get the support and services they need to be safe and successful.</w:t>
      </w:r>
    </w:p>
    <w:p w:rsidRPr="00D41BEF" w:rsidR="00204866" w:rsidP="00204866" w:rsidRDefault="00204866" w14:paraId="7EAF1DAD" w14:textId="77777777">
      <w:pPr>
        <w:keepNext/>
        <w:widowControl w:val="0"/>
        <w:spacing w:beforeAutospacing="1" w:afterAutospacing="1"/>
        <w:rPr>
          <w:rFonts w:cs="Arial"/>
        </w:rPr>
      </w:pPr>
      <w:r w:rsidRPr="00D41BEF">
        <w:rPr>
          <w:rFonts w:cs="Arial"/>
        </w:rPr>
        <w:t>These teams identify individuals and families who are homeless and connect them with our Coordinated Entry System. Coordinated Entry is a system to streamline access to housing supports and resources in Chittenden County.  The system was developed to assess and match homeless households for eligible services based on vulnerability, sustainability, and length of homelessness through a standardized, scored assessment. Each eligible household will be assigned a housing case manager and added to a master list of homeless households which is reviewed on a weekly basis by coordinated entry partners for appropriate housing opportunities. </w:t>
      </w:r>
      <w:r>
        <w:rPr>
          <w:rFonts w:cs="Arial"/>
        </w:rPr>
        <w:t xml:space="preserve">The system has been supplemented with additional outreach and case workers, supporting residents in the hotel system funded by the pandemic response Emergency Housing Initiative.  </w:t>
      </w:r>
    </w:p>
    <w:p w:rsidR="00204866" w:rsidP="00204866" w:rsidRDefault="00204866" w14:paraId="1F126DCF" w14:textId="77777777">
      <w:pPr>
        <w:keepNext/>
        <w:widowControl w:val="0"/>
        <w:spacing w:beforeAutospacing="1" w:afterAutospacing="1"/>
        <w:rPr>
          <w:rFonts w:cs="Arial"/>
        </w:rPr>
      </w:pPr>
      <w:r w:rsidRPr="00D41BEF">
        <w:rPr>
          <w:rFonts w:cs="Arial"/>
        </w:rPr>
        <w:t>Some of the goals for outreach this year include the following which are funded by a myriad of resources:</w:t>
      </w:r>
    </w:p>
    <w:p w:rsidRPr="00D41BEF" w:rsidR="00204866" w:rsidP="00204866" w:rsidRDefault="00204866" w14:paraId="210B70B3" w14:textId="77777777">
      <w:pPr>
        <w:keepNext/>
        <w:widowControl w:val="0"/>
        <w:spacing w:beforeAutospacing="1" w:afterAutospacing="1"/>
        <w:rPr>
          <w:rFonts w:cs="Arial"/>
        </w:rPr>
      </w:pPr>
      <w:r>
        <w:rPr>
          <w:rFonts w:cs="Arial"/>
        </w:rPr>
        <w:t xml:space="preserve">Continue to provide outreach to the more than 700 adults and children currently housed in hotels under </w:t>
      </w:r>
      <w:r>
        <w:rPr>
          <w:rFonts w:cs="Arial"/>
        </w:rPr>
        <w:lastRenderedPageBreak/>
        <w:t>the Emergency Housing Initiative.</w:t>
      </w:r>
    </w:p>
    <w:p w:rsidRPr="00D41BEF" w:rsidR="00204866" w:rsidP="00204866" w:rsidRDefault="00204866" w14:paraId="4EEF35FA" w14:textId="631671C5">
      <w:pPr>
        <w:keepNext/>
        <w:widowControl w:val="0"/>
        <w:spacing w:beforeAutospacing="1" w:afterAutospacing="1"/>
        <w:rPr>
          <w:rFonts w:cs="Arial"/>
        </w:rPr>
      </w:pPr>
      <w:r w:rsidRPr="00B52E59">
        <w:rPr>
          <w:rFonts w:cs="Arial"/>
        </w:rPr>
        <w:t>With CDBG funding from 202</w:t>
      </w:r>
      <w:r w:rsidRPr="008D7B31">
        <w:rPr>
          <w:rFonts w:cs="Arial"/>
        </w:rPr>
        <w:t>1</w:t>
      </w:r>
      <w:r w:rsidRPr="00B52E59">
        <w:rPr>
          <w:rFonts w:cs="Arial"/>
        </w:rPr>
        <w:t xml:space="preserve">, supportive housing services </w:t>
      </w:r>
      <w:r w:rsidRPr="008D7B31">
        <w:rPr>
          <w:rFonts w:cs="Arial"/>
        </w:rPr>
        <w:t xml:space="preserve">will continue to assist 96 chronically homeless individuals in the area with Pathways Vermont and ANEW Place </w:t>
      </w:r>
      <w:r w:rsidRPr="00B52E59">
        <w:rPr>
          <w:rFonts w:cs="Arial"/>
        </w:rPr>
        <w:t xml:space="preserve">and 899 women and children experiencing domestic violence with Steps </w:t>
      </w:r>
      <w:r w:rsidRPr="00B52E59" w:rsidR="00716AF1">
        <w:rPr>
          <w:rFonts w:cs="Arial"/>
        </w:rPr>
        <w:t>to</w:t>
      </w:r>
      <w:r w:rsidRPr="00B52E59">
        <w:rPr>
          <w:rFonts w:cs="Arial"/>
        </w:rPr>
        <w:t xml:space="preserve"> End Domestic Violen</w:t>
      </w:r>
      <w:r>
        <w:rPr>
          <w:rFonts w:cs="Arial"/>
        </w:rPr>
        <w:t>ce</w:t>
      </w:r>
    </w:p>
    <w:p w:rsidRPr="00D41BEF" w:rsidR="00204866" w:rsidP="00204866" w:rsidRDefault="00204866" w14:paraId="49F6A571" w14:textId="77777777">
      <w:pPr>
        <w:keepNext/>
        <w:widowControl w:val="0"/>
        <w:spacing w:beforeAutospacing="1" w:afterAutospacing="1"/>
        <w:rPr>
          <w:rFonts w:cs="Arial"/>
        </w:rPr>
      </w:pPr>
      <w:r w:rsidRPr="00D41BEF">
        <w:rPr>
          <w:rFonts w:cs="Arial"/>
        </w:rPr>
        <w:t>The SAMSHA funded outreach will also use the joint HMIS for input and tracking and refer clients to the Coordinated Entry System.</w:t>
      </w:r>
    </w:p>
    <w:p w:rsidRPr="00D41BEF" w:rsidR="00204866" w:rsidP="00204866" w:rsidRDefault="00204866" w14:paraId="1635AFED" w14:textId="7441B87D">
      <w:pPr>
        <w:keepNext/>
        <w:widowControl w:val="0"/>
        <w:spacing w:beforeAutospacing="1" w:afterAutospacing="1"/>
        <w:rPr>
          <w:rFonts w:cs="Arial"/>
        </w:rPr>
      </w:pPr>
      <w:r w:rsidRPr="00792367">
        <w:rPr>
          <w:rFonts w:cs="Arial"/>
        </w:rPr>
        <w:t xml:space="preserve">ANEW Place will continue to operate </w:t>
      </w:r>
      <w:r w:rsidRPr="008D7B31">
        <w:rPr>
          <w:rFonts w:cs="Arial"/>
        </w:rPr>
        <w:t xml:space="preserve">the new </w:t>
      </w:r>
      <w:r w:rsidRPr="008D7B31" w:rsidR="00716AF1">
        <w:rPr>
          <w:rFonts w:cs="Arial"/>
        </w:rPr>
        <w:t>year-round</w:t>
      </w:r>
      <w:r w:rsidRPr="008D7B31">
        <w:rPr>
          <w:rFonts w:cs="Arial"/>
        </w:rPr>
        <w:t xml:space="preserve"> Warming Shelter</w:t>
      </w:r>
      <w:r w:rsidRPr="00792367">
        <w:rPr>
          <w:rFonts w:cs="Arial"/>
        </w:rPr>
        <w:t xml:space="preserve"> and with ESG/HOP funds maintain a coordinat</w:t>
      </w:r>
      <w:r>
        <w:rPr>
          <w:rFonts w:cs="Arial"/>
        </w:rPr>
        <w:t>ion</w:t>
      </w:r>
      <w:r w:rsidRPr="00792367">
        <w:rPr>
          <w:rFonts w:cs="Arial"/>
        </w:rPr>
        <w:t xml:space="preserve"> to work with homeless (unsheltered) clients </w:t>
      </w:r>
      <w:r w:rsidRPr="00792367" w:rsidR="00716AF1">
        <w:rPr>
          <w:rFonts w:cs="Arial"/>
        </w:rPr>
        <w:t>year-round</w:t>
      </w:r>
      <w:r w:rsidRPr="00792367">
        <w:rPr>
          <w:rFonts w:cs="Arial"/>
        </w:rPr>
        <w:t xml:space="preserve"> to ensure on-going case management and connection to services and housing.</w:t>
      </w:r>
    </w:p>
    <w:p w:rsidRPr="00D41BEF" w:rsidR="00204866" w:rsidP="00204866" w:rsidRDefault="00204866" w14:paraId="24AAE2B4" w14:textId="77777777">
      <w:pPr>
        <w:keepNext/>
        <w:widowControl w:val="0"/>
        <w:spacing w:beforeAutospacing="1" w:afterAutospacing="1"/>
        <w:rPr>
          <w:rFonts w:cs="Arial"/>
        </w:rPr>
      </w:pPr>
      <w:r w:rsidRPr="002C3EBA">
        <w:rPr>
          <w:rFonts w:cs="Arial"/>
        </w:rPr>
        <w:t>The Consolidated Plan supports outreach and homeless shelter services. New housing programs and applications for new housing are built on a Housing First model.  New</w:t>
      </w:r>
      <w:r>
        <w:rPr>
          <w:rFonts w:cs="Arial"/>
        </w:rPr>
        <w:t xml:space="preserve"> services have come online in response to the pandemic.  Increased outreach provides support to the more than 700 residents in emergency shelter at hotels under the Emergency Housing Initiative. </w:t>
      </w:r>
    </w:p>
    <w:p w:rsidRPr="00D41BEF" w:rsidR="00204866" w:rsidP="00204866" w:rsidRDefault="00204866" w14:paraId="4AC7D16E" w14:textId="77777777">
      <w:pPr>
        <w:keepNext/>
        <w:widowControl w:val="0"/>
        <w:rPr>
          <w:b/>
          <w:sz w:val="24"/>
          <w:szCs w:val="24"/>
        </w:rPr>
      </w:pPr>
      <w:r w:rsidRPr="00D41BEF">
        <w:rPr>
          <w:b/>
          <w:sz w:val="24"/>
          <w:szCs w:val="24"/>
        </w:rPr>
        <w:t>Addressing the emergency shelter and transitional housing needs of homeless persons</w:t>
      </w:r>
    </w:p>
    <w:p w:rsidR="00204866" w:rsidP="00204866" w:rsidRDefault="00204866" w14:paraId="6EBA5215" w14:textId="2E1FC78D">
      <w:pPr>
        <w:keepNext/>
        <w:widowControl w:val="0"/>
        <w:spacing w:beforeAutospacing="1" w:afterAutospacing="1"/>
        <w:rPr>
          <w:rFonts w:cs="Arial"/>
        </w:rPr>
      </w:pPr>
      <w:r w:rsidRPr="00D41BEF">
        <w:rPr>
          <w:rFonts w:cs="Arial"/>
        </w:rPr>
        <w:t xml:space="preserve">There are two emergency shelters serving single adults including veterans: COTS Waystation and ANEW Place. COTS operates the Firehouse and Main Street Family Shelters for households with children. COTS Daystation is a drop-in center for homeless adults and families.  The confidential shelter operated by </w:t>
      </w:r>
      <w:r w:rsidRPr="002C3EBA">
        <w:rPr>
          <w:rFonts w:cs="Arial"/>
        </w:rPr>
        <w:t xml:space="preserve">STEPS </w:t>
      </w:r>
      <w:r w:rsidRPr="002C3EBA" w:rsidR="00716AF1">
        <w:rPr>
          <w:rFonts w:cs="Arial"/>
        </w:rPr>
        <w:t>to</w:t>
      </w:r>
      <w:r w:rsidRPr="002C3EBA">
        <w:rPr>
          <w:rFonts w:cs="Arial"/>
        </w:rPr>
        <w:t xml:space="preserve"> End Domestic Violence serves homeless women</w:t>
      </w:r>
      <w:r w:rsidRPr="00D41BEF">
        <w:rPr>
          <w:rFonts w:cs="Arial"/>
        </w:rPr>
        <w:t xml:space="preserve"> and children fleeing domestic violence</w:t>
      </w:r>
      <w:r>
        <w:rPr>
          <w:rFonts w:cs="Arial"/>
        </w:rPr>
        <w:t xml:space="preserve"> was expanded in this year, in response to pandemic related needs.</w:t>
      </w:r>
      <w:r w:rsidRPr="00D41BEF">
        <w:rPr>
          <w:rFonts w:cs="Arial"/>
        </w:rPr>
        <w:t xml:space="preserve"> Spectrum Youth and Family Services operates a shelter for homeless youth.  </w:t>
      </w:r>
      <w:r>
        <w:rPr>
          <w:rFonts w:cs="Arial"/>
        </w:rPr>
        <w:t xml:space="preserve">Each shelter reduced and deconcentrated operations in congregate settings, for pandemic infection control. Residents were relocated to hotels, under the Emergency Housing Initiative. </w:t>
      </w:r>
      <w:r w:rsidRPr="00D41BEF">
        <w:rPr>
          <w:rFonts w:cs="Arial"/>
        </w:rPr>
        <w:t xml:space="preserve">Each shelter </w:t>
      </w:r>
      <w:r>
        <w:rPr>
          <w:rFonts w:cs="Arial"/>
        </w:rPr>
        <w:t xml:space="preserve">and hotel space </w:t>
      </w:r>
      <w:r w:rsidRPr="00D41BEF" w:rsidR="00716AF1">
        <w:rPr>
          <w:rFonts w:cs="Arial"/>
        </w:rPr>
        <w:t>offer</w:t>
      </w:r>
      <w:r w:rsidRPr="00D41BEF">
        <w:rPr>
          <w:rFonts w:cs="Arial"/>
        </w:rPr>
        <w:t xml:space="preserve"> case management and housing search assistance to help participants move out of shelter into transitional or permanent housing, with necessary follow-up support for maintaining housing. It remains a goal of the Jurisdiction and the Continuum to increase the actual number of permanent housing and permanent supportive housing options, so that participants will have opportunities to quickly transition out of the emergency shelters. </w:t>
      </w:r>
    </w:p>
    <w:p w:rsidRPr="002C3EBA" w:rsidR="00204866" w:rsidP="00204866" w:rsidRDefault="00204866" w14:paraId="7CEBE9C2" w14:textId="77777777">
      <w:pPr>
        <w:keepNext/>
        <w:widowControl w:val="0"/>
        <w:spacing w:beforeAutospacing="1" w:afterAutospacing="1"/>
        <w:rPr>
          <w:rFonts w:cs="Arial"/>
        </w:rPr>
      </w:pPr>
      <w:r w:rsidRPr="00D41BEF">
        <w:rPr>
          <w:rFonts w:cs="Arial"/>
        </w:rPr>
        <w:t xml:space="preserve">With </w:t>
      </w:r>
      <w:r w:rsidRPr="008D7B31">
        <w:rPr>
          <w:rFonts w:cs="Arial"/>
        </w:rPr>
        <w:t>2020 CDBG funding,</w:t>
      </w:r>
      <w:r w:rsidRPr="00D41BEF">
        <w:rPr>
          <w:rFonts w:cs="Arial"/>
        </w:rPr>
        <w:t xml:space="preserve"> the following goal will be achieved: over 560 households, including adults and </w:t>
      </w:r>
      <w:r w:rsidRPr="002C3EBA">
        <w:rPr>
          <w:rFonts w:cs="Arial"/>
        </w:rPr>
        <w:t>children fleeing domestic violence, will receive shelter and services through STEPS in the next year.</w:t>
      </w:r>
    </w:p>
    <w:p w:rsidRPr="00D41BEF" w:rsidR="00204866" w:rsidP="00204866" w:rsidRDefault="00204866" w14:paraId="0173BAAE" w14:textId="77777777">
      <w:pPr>
        <w:keepNext/>
        <w:widowControl w:val="0"/>
        <w:spacing w:beforeAutospacing="1" w:afterAutospacing="1"/>
        <w:rPr>
          <w:rFonts w:cs="Arial"/>
        </w:rPr>
      </w:pPr>
      <w:r w:rsidRPr="002C3EBA">
        <w:rPr>
          <w:rFonts w:cs="Arial"/>
        </w:rPr>
        <w:t>With local, state and other federal funding, two emergency family shelters will house up to 60 individuals through COTS</w:t>
      </w:r>
      <w:r w:rsidRPr="008D7B31">
        <w:rPr>
          <w:rFonts w:cs="Arial"/>
        </w:rPr>
        <w:t>, pandemic recovery permitting</w:t>
      </w:r>
      <w:r w:rsidRPr="002C3EBA">
        <w:rPr>
          <w:rFonts w:cs="Arial"/>
        </w:rPr>
        <w:t xml:space="preserve">. Spectrum will house up to 8 youth in their emergency shelter and 8 in their Pearl Street SRO transitional housing. Single adults will have access to 56 emergency housing beds at Waystation and Anew Place and 11 individuals or family members will have access to emergency housing at COTS’ Smith House. </w:t>
      </w:r>
      <w:r w:rsidRPr="008D7B31">
        <w:rPr>
          <w:rFonts w:cs="Arial"/>
        </w:rPr>
        <w:t xml:space="preserve">ANEW Place will continue to operate the new </w:t>
      </w:r>
      <w:r w:rsidRPr="008D7B31">
        <w:rPr>
          <w:rFonts w:cs="Arial"/>
        </w:rPr>
        <w:lastRenderedPageBreak/>
        <w:t>year-round, non-congregate, low barrier facility at the Champlain Inn.</w:t>
      </w:r>
      <w:r w:rsidRPr="008D7B31" w:rsidDel="00792367">
        <w:rPr>
          <w:rFonts w:cs="Arial"/>
        </w:rPr>
        <w:t xml:space="preserve"> </w:t>
      </w:r>
    </w:p>
    <w:p w:rsidRPr="00D41BEF" w:rsidR="00204866" w:rsidP="00204866" w:rsidRDefault="00204866" w14:paraId="4FCD5AC9" w14:textId="77777777">
      <w:pPr>
        <w:keepNext/>
        <w:widowControl w:val="0"/>
        <w:spacing w:beforeAutospacing="1" w:afterAutospacing="1"/>
        <w:rPr>
          <w:rFonts w:cs="Arial"/>
        </w:rPr>
      </w:pPr>
      <w:r w:rsidRPr="00D41BEF">
        <w:rPr>
          <w:rFonts w:cs="Arial"/>
        </w:rPr>
        <w:t>ESG funding is used for emergency shelter operations and case management, Rapid Re-housing Rental Assistance, and HMIS. </w:t>
      </w:r>
    </w:p>
    <w:p w:rsidR="00204866" w:rsidP="00204866" w:rsidRDefault="00204866" w14:paraId="1420A5FE" w14:textId="77777777">
      <w:pPr>
        <w:keepNext/>
        <w:widowControl w:val="0"/>
        <w:spacing w:beforeAutospacing="1" w:afterAutospacing="1"/>
        <w:rPr>
          <w:rFonts w:cs="Arial"/>
        </w:rPr>
      </w:pPr>
      <w:r w:rsidRPr="00D41BEF">
        <w:rPr>
          <w:rFonts w:cs="Arial"/>
        </w:rPr>
        <w:t xml:space="preserve">In addition to these programs, the State of Vermont serves the homeless who qualify with an Emergency </w:t>
      </w:r>
      <w:r w:rsidRPr="002C3EBA">
        <w:rPr>
          <w:rFonts w:cs="Arial"/>
        </w:rPr>
        <w:t xml:space="preserve">Services Motel Voucher program with cold weather exemptions available to those in need when temperatures drop below freezing. </w:t>
      </w:r>
      <w:r w:rsidRPr="008D7B31">
        <w:rPr>
          <w:rFonts w:cs="Arial"/>
        </w:rPr>
        <w:t>This program was expanded for COVID response and currently provides outreach services and</w:t>
      </w:r>
      <w:r>
        <w:rPr>
          <w:rFonts w:cs="Arial"/>
        </w:rPr>
        <w:t xml:space="preserve"> emergency</w:t>
      </w:r>
      <w:r w:rsidRPr="008D7B31">
        <w:rPr>
          <w:rFonts w:cs="Arial"/>
        </w:rPr>
        <w:t xml:space="preserve"> accommodation to more than 700 individuals in Chittenden County. </w:t>
      </w:r>
      <w:r w:rsidRPr="002C3EBA">
        <w:rPr>
          <w:rFonts w:cs="Arial"/>
        </w:rPr>
        <w:t>Harbor Place, a former Econo-Lodge in Shelburne, provides up to 55 beds of temporary</w:t>
      </w:r>
      <w:r w:rsidRPr="008D7B31">
        <w:rPr>
          <w:rFonts w:cs="Arial"/>
        </w:rPr>
        <w:t xml:space="preserve"> and substance free</w:t>
      </w:r>
      <w:r w:rsidRPr="002C3EBA">
        <w:rPr>
          <w:rFonts w:cs="Arial"/>
        </w:rPr>
        <w:t xml:space="preserve"> housing. Units</w:t>
      </w:r>
      <w:r w:rsidRPr="00D41BEF">
        <w:rPr>
          <w:rFonts w:cs="Arial"/>
        </w:rPr>
        <w:t xml:space="preserve"> include single rooms with refrigerators and microwaves and one- and two-room kitchenette units</w:t>
      </w:r>
      <w:r w:rsidRPr="002C3EBA">
        <w:rPr>
          <w:rFonts w:cs="Arial"/>
        </w:rPr>
        <w:t xml:space="preserve">.  Onsite service providers include CVOEO, Safe Harbor, STEPS, Howard, and Reach-Up.  </w:t>
      </w:r>
      <w:r w:rsidRPr="008D7B31">
        <w:rPr>
          <w:rFonts w:cs="Arial"/>
        </w:rPr>
        <w:t xml:space="preserve">The former Ho-Hum Motel was purchased with COVID relief funding and operated by Champlain Housing Trust </w:t>
      </w:r>
      <w:r>
        <w:rPr>
          <w:rFonts w:cs="Arial"/>
        </w:rPr>
        <w:t>to</w:t>
      </w:r>
      <w:r w:rsidRPr="002C3EBA">
        <w:rPr>
          <w:rFonts w:cs="Arial"/>
        </w:rPr>
        <w:t xml:space="preserve"> creat</w:t>
      </w:r>
      <w:r>
        <w:rPr>
          <w:rFonts w:cs="Arial"/>
        </w:rPr>
        <w:t>e</w:t>
      </w:r>
      <w:r w:rsidRPr="002C3EBA">
        <w:rPr>
          <w:rFonts w:cs="Arial"/>
        </w:rPr>
        <w:t xml:space="preserve"> an essential 32 COVID quarantine or isolation rooms</w:t>
      </w:r>
      <w:r>
        <w:rPr>
          <w:rFonts w:cs="Arial"/>
        </w:rPr>
        <w:t>, along with</w:t>
      </w:r>
      <w:r w:rsidRPr="002C3EBA">
        <w:rPr>
          <w:rFonts w:cs="Arial"/>
        </w:rPr>
        <w:t xml:space="preserve"> supported services for members of the community exp</w:t>
      </w:r>
      <w:r>
        <w:rPr>
          <w:rFonts w:cs="Arial"/>
        </w:rPr>
        <w:t>eriencing homelessness.</w:t>
      </w:r>
    </w:p>
    <w:p w:rsidR="00204866" w:rsidP="00204866" w:rsidRDefault="00204866" w14:paraId="438CBF77" w14:textId="77777777">
      <w:pPr>
        <w:keepNext/>
        <w:widowControl w:val="0"/>
        <w:spacing w:beforeAutospacing="1" w:afterAutospacing="1"/>
        <w:rPr>
          <w:rFonts w:cs="Arial"/>
        </w:rPr>
      </w:pPr>
      <w:r>
        <w:rPr>
          <w:rFonts w:cs="Arial"/>
        </w:rPr>
        <w:t xml:space="preserve">With State CDBG COVID funding the City of Burlington in partnership with CVOEO created a Daytime Warming Center for the Winter 2020/21 to provide space and access to services during the pandemic when other spaces are closed or inaccessible. </w:t>
      </w:r>
    </w:p>
    <w:p w:rsidRPr="00D41BEF" w:rsidR="00204866" w:rsidP="00204866" w:rsidRDefault="00204866" w14:paraId="099A08EF" w14:textId="77777777">
      <w:pPr>
        <w:keepNext/>
        <w:widowControl w:val="0"/>
        <w:spacing w:beforeAutospacing="1" w:afterAutospacing="1"/>
        <w:rPr>
          <w:rFonts w:cs="Arial"/>
        </w:rPr>
      </w:pPr>
      <w:r w:rsidRPr="00D41BEF">
        <w:rPr>
          <w:rFonts w:cs="Arial"/>
        </w:rPr>
        <w:t xml:space="preserve">Transitional Housing is </w:t>
      </w:r>
      <w:r>
        <w:rPr>
          <w:rFonts w:cs="Arial"/>
        </w:rPr>
        <w:t xml:space="preserve">also </w:t>
      </w:r>
      <w:r w:rsidRPr="00D41BEF">
        <w:rPr>
          <w:rFonts w:cs="Arial"/>
        </w:rPr>
        <w:t>provided by several member agencies of the Continuum.  COTS provides transitional housing to homeless individuals and families.  The Howard Center's Transitional Housing Program provides housing for 6 homeless persons with mental illnesses.  Spectrum provides transitional housing for youth in the community.  STEPS delivers transitional housing options for victims of domestic violence.  Transitional housing is available for women exiting corrections. Veterans have transitional housing opportunities in nearby Winooski.</w:t>
      </w:r>
    </w:p>
    <w:p w:rsidRPr="00D41BEF" w:rsidR="00204866" w:rsidP="00204866" w:rsidRDefault="00204866" w14:paraId="75555DFC" w14:textId="77777777">
      <w:pPr>
        <w:keepNext/>
        <w:widowControl w:val="0"/>
        <w:rPr>
          <w:b/>
          <w:sz w:val="24"/>
          <w:szCs w:val="24"/>
        </w:rPr>
      </w:pPr>
      <w:r w:rsidRPr="00D41BEF">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Pr="00D41BEF" w:rsidR="00204866" w:rsidP="00204866" w:rsidRDefault="00204866" w14:paraId="67039058" w14:textId="77777777">
      <w:pPr>
        <w:keepNext/>
        <w:widowControl w:val="0"/>
        <w:spacing w:beforeAutospacing="1" w:afterAutospacing="1"/>
        <w:rPr>
          <w:rFonts w:cs="Arial"/>
        </w:rPr>
      </w:pPr>
      <w:r w:rsidRPr="00D41BEF">
        <w:rPr>
          <w:rFonts w:cs="Arial"/>
        </w:rPr>
        <w:t>The City of Burlington is committed to the retention of affordable housing units with expiring tax credits and commits local, state, and federal resources to this goal. Keeping the inventory of affordable units as well as increasing the number of affordable housing units are key to helping our most vulnerable residents remain housed.</w:t>
      </w:r>
    </w:p>
    <w:p w:rsidRPr="00D41BEF" w:rsidR="00204866" w:rsidP="00204866" w:rsidRDefault="00204866" w14:paraId="0EC56D4B" w14:textId="77777777">
      <w:pPr>
        <w:keepNext/>
        <w:widowControl w:val="0"/>
        <w:spacing w:beforeAutospacing="1" w:afterAutospacing="1"/>
        <w:rPr>
          <w:rFonts w:cs="Arial"/>
        </w:rPr>
      </w:pPr>
      <w:r w:rsidRPr="00D41BEF">
        <w:rPr>
          <w:rFonts w:cs="Arial"/>
        </w:rPr>
        <w:t xml:space="preserve">The Continuum and its partners are committed to transitioning homeless persons into permanent housing and have implemented the coordinated entry system and a standard assessment tool to </w:t>
      </w:r>
      <w:r w:rsidRPr="00D41BEF">
        <w:rPr>
          <w:rFonts w:cs="Arial"/>
        </w:rPr>
        <w:lastRenderedPageBreak/>
        <w:t>facilitate this goal. Additionally, the Homeless Management Information System (HMIS) is used to create a Community Master List of persons experiencing homelessness prioritized by vulnerability. The CES and CoC-funded PSH projects and agencies utilize the Housing First model and rapidly re-house chronic homeless with a high success in clients who maintain their housing. Over the past 4 years, VT-501 CoC has experienced a 65% drop in chronic homelessness and hopes to eliminate chronic homelessness for adults and veterans during this 5-year Consolidated Plan.</w:t>
      </w:r>
      <w:r>
        <w:rPr>
          <w:rFonts w:cs="Arial"/>
        </w:rPr>
        <w:t xml:space="preserve">  The pandemic caused a dramatic increase of people experiencing homelessness. The statewide response is providing emergency shelter in hotels under the Emergency Housing Initiative, along with outreach and coordinated entry to support transition into permanent housing.</w:t>
      </w:r>
    </w:p>
    <w:p w:rsidRPr="00D41BEF" w:rsidR="00204866" w:rsidP="00204866" w:rsidRDefault="00204866" w14:paraId="46FE8A3F" w14:textId="77777777">
      <w:pPr>
        <w:keepNext/>
        <w:widowControl w:val="0"/>
        <w:spacing w:beforeAutospacing="1" w:afterAutospacing="1"/>
        <w:rPr>
          <w:rFonts w:cs="Arial"/>
        </w:rPr>
      </w:pPr>
      <w:r w:rsidRPr="00D41BEF">
        <w:rPr>
          <w:rFonts w:cs="Arial"/>
        </w:rPr>
        <w:t>Burlington agencies utilize a range of housing retention programs to assist at risk households in maintaining their housing. These services include wrap-around support services, a hoarding task force, landlord advocacy, and a Risk Guarantee Fund used to mitigate risks on the hardest to house persons. Our local Continuum continues to advocate for increased state resources such as the Rental Subsidy Program and the Mental Health Subsidy Program that can be used to help keep at-risk families housed.</w:t>
      </w:r>
      <w:r>
        <w:rPr>
          <w:rFonts w:cs="Arial"/>
        </w:rPr>
        <w:t xml:space="preserve"> The State provides COVID response support in the form of two significant emergency rental assistance programs. </w:t>
      </w:r>
    </w:p>
    <w:p w:rsidRPr="00D41BEF" w:rsidR="00204866" w:rsidP="00204866" w:rsidRDefault="00204866" w14:paraId="2E0A6EFA" w14:textId="77777777">
      <w:pPr>
        <w:keepNext/>
        <w:widowControl w:val="0"/>
        <w:spacing w:beforeAutospacing="1" w:afterAutospacing="1"/>
        <w:rPr>
          <w:rFonts w:cs="Arial"/>
        </w:rPr>
      </w:pPr>
      <w:r w:rsidRPr="00D41BEF">
        <w:rPr>
          <w:rFonts w:cs="Arial"/>
        </w:rPr>
        <w:t>Community-based organizations provide job training and placement, substance abuse counseling and referrals for treatment, medical and dental care, legal advocacy and representation, mental health counseling and residential treatment programs, child care, housing search assistance and security deposit assistance to help homeless families transition to permanent housing and independent living.</w:t>
      </w:r>
    </w:p>
    <w:p w:rsidRPr="00D41BEF" w:rsidR="00204866" w:rsidP="00204866" w:rsidRDefault="00204866" w14:paraId="6150295C" w14:textId="77777777">
      <w:pPr>
        <w:keepNext/>
        <w:widowControl w:val="0"/>
        <w:spacing w:beforeAutospacing="1" w:afterAutospacing="1"/>
        <w:rPr>
          <w:rFonts w:cs="Arial"/>
        </w:rPr>
      </w:pPr>
      <w:r w:rsidRPr="00D41BEF">
        <w:rPr>
          <w:rFonts w:cs="Arial"/>
        </w:rPr>
        <w:t xml:space="preserve">The CoC partners with local, state, and federal organizations and landlords to combat homelessness among veterans. Previously unidentified veterans were enrolled in VA care and many are housed through VA housing programs.  Thirty-seven VASH vouchers </w:t>
      </w:r>
      <w:r>
        <w:rPr>
          <w:rFonts w:cs="Arial"/>
        </w:rPr>
        <w:t>we</w:t>
      </w:r>
      <w:r w:rsidRPr="00D41BEF">
        <w:rPr>
          <w:rFonts w:cs="Arial"/>
        </w:rPr>
        <w:t>re administered in Chittenden County. Outreach has increased to local veterans at our shelters due to a local VA case manager who serves on the CoC steering committee.  The Housing First approach is used within HUD VASH. Also, housing retention and rapid re-housing with low-income veteran families is addressed with two Supportive Services for Veteran Families grants. The VA maintains a state-wide by name list and reviews cases on a monthly basis.</w:t>
      </w:r>
    </w:p>
    <w:p w:rsidRPr="00D41BEF" w:rsidR="00204866" w:rsidP="00204866" w:rsidRDefault="00204866" w14:paraId="5B4FA5A2" w14:textId="77777777">
      <w:pPr>
        <w:keepNext/>
        <w:widowControl w:val="0"/>
        <w:rPr>
          <w:b/>
          <w:sz w:val="24"/>
          <w:szCs w:val="24"/>
        </w:rPr>
      </w:pPr>
      <w:r w:rsidRPr="00D41BEF">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Pr="00D41BEF" w:rsidR="00204866" w:rsidP="00204866" w:rsidRDefault="00204866" w14:paraId="19921152" w14:textId="77777777">
      <w:pPr>
        <w:keepNext/>
        <w:widowControl w:val="0"/>
        <w:spacing w:beforeAutospacing="1" w:afterAutospacing="1"/>
        <w:rPr>
          <w:rFonts w:cs="Arial"/>
          <w:szCs w:val="26"/>
        </w:rPr>
      </w:pPr>
      <w:r w:rsidRPr="00D41BEF">
        <w:rPr>
          <w:rFonts w:cs="Arial"/>
        </w:rPr>
        <w:t xml:space="preserve">Several agencies administer prevention services including home heating fuel aid, transportation, housing navigation, tenants’ rights advocacy, and legal assistance.  The Housing Opportunity Program (funded by </w:t>
      </w:r>
      <w:r w:rsidRPr="00D41BEF">
        <w:rPr>
          <w:rFonts w:cs="Arial"/>
        </w:rPr>
        <w:lastRenderedPageBreak/>
        <w:t>the State of Vermont and administered at local agencies), also provides case management, short term rental subsidies, and back rent, along with case management for low income individuals and families at risk of losing their housing.</w:t>
      </w:r>
    </w:p>
    <w:p w:rsidRPr="00D41BEF" w:rsidR="00204866" w:rsidP="00204866" w:rsidRDefault="00204866" w14:paraId="13AF259F" w14:textId="77777777">
      <w:pPr>
        <w:keepNext/>
        <w:widowControl w:val="0"/>
        <w:spacing w:beforeAutospacing="1" w:afterAutospacing="1"/>
        <w:rPr>
          <w:rFonts w:cs="Arial"/>
          <w:szCs w:val="26"/>
        </w:rPr>
      </w:pPr>
      <w:r w:rsidRPr="00D41BEF">
        <w:rPr>
          <w:rFonts w:cs="Arial"/>
        </w:rPr>
        <w:t>Youth exiting foster care in Vermont have two primary supports that protect them from being discharged into homelessness as they exit legal custody at age 18: the Youth Development Program funded with federal Chafee Foster Care Independence Program and state funds &amp; Act 74 Youth in Transition Extended Care Program. These programs are in addition to the programming run directly by the VT AHS-Dept. of Children &amp; Families Services. In this program, a number of youths formerly in foster care are supported with case management and connected to long-term rental assistance with local Housing Authorities, including a VT State Housing Authority Sect. 8 HCV waitlist preference for youth aging out of foster care as part of the HUD Family Unification/Youth-in-Transition Programs. Some live on campus at area colleges to pursue education. The College of St. Joseph in Vermont specifically helps foster youth transition to college by providing year-round housing and support services, and the Adult Living Program provides a stipend for households willing to host an 18 to 22-year-old leaving foster care.</w:t>
      </w:r>
    </w:p>
    <w:p w:rsidRPr="00D41BEF" w:rsidR="00204866" w:rsidP="00204866" w:rsidRDefault="00204866" w14:paraId="41430C65" w14:textId="77777777">
      <w:pPr>
        <w:keepNext/>
        <w:widowControl w:val="0"/>
        <w:spacing w:beforeAutospacing="1" w:afterAutospacing="1"/>
        <w:rPr>
          <w:rFonts w:cs="Arial"/>
          <w:szCs w:val="26"/>
        </w:rPr>
      </w:pPr>
      <w:r w:rsidRPr="00D41BEF">
        <w:rPr>
          <w:rFonts w:cs="Arial"/>
        </w:rPr>
        <w:t xml:space="preserve">Hospital patients are routinely discharged to their previous residence, a nursing home, or medical respite beds. McKinney Vento funded programs are used as needed and include emergency shelters and some transitional/permanent housing programs when appropriate. </w:t>
      </w:r>
    </w:p>
    <w:p w:rsidRPr="00D41BEF" w:rsidR="00204866" w:rsidP="00204866" w:rsidRDefault="00204866" w14:paraId="443F4B0B" w14:textId="77777777">
      <w:pPr>
        <w:keepNext/>
        <w:widowControl w:val="0"/>
        <w:spacing w:beforeAutospacing="1" w:afterAutospacing="1"/>
        <w:rPr>
          <w:rFonts w:cs="Arial"/>
          <w:szCs w:val="26"/>
        </w:rPr>
      </w:pPr>
      <w:r w:rsidRPr="00D41BEF">
        <w:rPr>
          <w:rFonts w:cs="Arial"/>
        </w:rPr>
        <w:t>Persons discharged from a mental health treatment or community bed receive state-funded assistance through the Vermont Department of Mental Health (VT DMH) Subsidy &amp; Care Program, VT DMH Housing Contingency Fund and the VT DMH Housing Recovery Fund. In addition, state agencies collaborate with the Burlington Housing Authority, and other affordable housing agencies to utilize Section 8 Housing Choice Voucher Programs for tenant-based and project-based rental assistance units funded by the Low-Income Housing Tax Credit Program. Patients are routinely discharged to Howard Center transitional or step-down programs such as Second Spring, Meadowview, Next Door Program, and 72 North Winooski group home which are not McKinney Vento funded programs. Some persons leaving corrections can go to their previous residence, a transitional housing program for offenders, or to live with family. Northern Lights is an 11-bed supportive home for women returning from prison. The women’s rent is subsidized while in the house (if they qualify), and upon successful completion of the program, they are given a Burlington Housing Authority (BHA) Section 8 housing choice voucher to take into the community. Dismas House serves 10 residents. Phoenix House RISE houses formerly incarcerated men and in early recovery from substance abuse for 3 to 24 months.</w:t>
      </w:r>
    </w:p>
    <w:p w:rsidRPr="00D41BEF" w:rsidR="00204866" w:rsidP="00204866" w:rsidRDefault="00204866" w14:paraId="4B2EC25B" w14:textId="77777777">
      <w:pPr>
        <w:keepNext/>
        <w:widowControl w:val="0"/>
        <w:spacing w:line="204" w:lineRule="auto"/>
        <w:rPr>
          <w:b/>
          <w:sz w:val="24"/>
          <w:szCs w:val="24"/>
        </w:rPr>
      </w:pPr>
      <w:r w:rsidRPr="00D41BEF">
        <w:rPr>
          <w:b/>
          <w:sz w:val="24"/>
          <w:szCs w:val="24"/>
        </w:rPr>
        <w:t>Discussion</w:t>
      </w:r>
    </w:p>
    <w:p w:rsidRPr="00D41BEF" w:rsidR="00204866" w:rsidP="00204866" w:rsidRDefault="00204866" w14:paraId="5BE30356" w14:textId="77777777">
      <w:pPr>
        <w:keepNext/>
        <w:widowControl w:val="0"/>
        <w:spacing w:beforeAutospacing="1" w:afterAutospacing="1"/>
        <w:rPr>
          <w:b/>
          <w:sz w:val="24"/>
          <w:szCs w:val="24"/>
        </w:rPr>
      </w:pPr>
      <w:r w:rsidRPr="00D41BEF">
        <w:rPr>
          <w:rFonts w:cs="Arial"/>
        </w:rPr>
        <w:t xml:space="preserve">Veterans and their families have both transitional and permanent housing options and services available to them along with specialized outreach, assessment and additional services to meet their unique needs. The National Hotline refers calls directly to the area case manager; VASH vouchers are administered locally and through new grant programs, and a Housing First model will be implemented for any </w:t>
      </w:r>
      <w:r w:rsidRPr="00D41BEF">
        <w:rPr>
          <w:rFonts w:cs="Arial"/>
        </w:rPr>
        <w:lastRenderedPageBreak/>
        <w:t>chronically homeless veterans.</w:t>
      </w:r>
    </w:p>
    <w:p w:rsidRPr="00D41BEF" w:rsidR="00204866" w:rsidP="00204866" w:rsidRDefault="00204866" w14:paraId="2F03D1C3" w14:textId="77777777">
      <w:pPr>
        <w:keepNext/>
        <w:widowControl w:val="0"/>
        <w:spacing w:beforeAutospacing="1" w:afterAutospacing="1"/>
        <w:rPr>
          <w:b/>
          <w:sz w:val="24"/>
          <w:szCs w:val="24"/>
        </w:rPr>
      </w:pPr>
      <w:r w:rsidRPr="00D41BEF">
        <w:rPr>
          <w:rFonts w:cs="Arial"/>
        </w:rPr>
        <w:t>Unaccompanied youth have emergency shelter, transitional and permanent housing options available to them along with specialized outreach and services to assist them in learning to live independently, set goals and complete their education.</w:t>
      </w:r>
    </w:p>
    <w:p w:rsidRPr="00D41BEF" w:rsidR="00204866" w:rsidP="00204866" w:rsidRDefault="00204866" w14:paraId="4092DF4F" w14:textId="77777777">
      <w:pPr>
        <w:keepNext/>
        <w:widowControl w:val="0"/>
        <w:spacing w:beforeAutospacing="1" w:afterAutospacing="1"/>
        <w:rPr>
          <w:b/>
          <w:sz w:val="24"/>
          <w:szCs w:val="24"/>
        </w:rPr>
      </w:pPr>
      <w:r w:rsidRPr="00D41BEF">
        <w:rPr>
          <w:rFonts w:cs="Arial"/>
        </w:rPr>
        <w:t>Frail elderly and those with special needs are served through Cathedral Square and Ethan Allen Residence where 72 Burlington seniors will receive Level Three care. Through the HomeShare program and with the help of the City’s Housing Trust Funds, over 50 elderly and/or disabled will be able to remain safe in their homes. </w:t>
      </w:r>
    </w:p>
    <w:p w:rsidRPr="00D41BEF" w:rsidR="00204866" w:rsidP="00204866" w:rsidRDefault="00204866" w14:paraId="5D8DBFC0" w14:textId="77777777">
      <w:pPr>
        <w:keepNext/>
        <w:widowControl w:val="0"/>
        <w:spacing w:beforeAutospacing="1" w:afterAutospacing="1"/>
        <w:rPr>
          <w:b/>
          <w:sz w:val="24"/>
          <w:szCs w:val="24"/>
        </w:rPr>
      </w:pPr>
      <w:r w:rsidRPr="00D41BEF">
        <w:rPr>
          <w:rFonts w:cs="Arial"/>
        </w:rPr>
        <w:t>Service-enriched housing needs for the population with severe mental illness range from affordable, independent apartments with support services provided by visiting mental health workers to 24-hour supervised "group home" settings. There is a need for additional supportive housing at all levels for those living with severe mental illness. </w:t>
      </w:r>
    </w:p>
    <w:p w:rsidRPr="00D41BEF" w:rsidR="00204866" w:rsidP="00204866" w:rsidRDefault="00204866" w14:paraId="220211BA" w14:textId="77777777">
      <w:pPr>
        <w:keepNext/>
        <w:widowControl w:val="0"/>
        <w:spacing w:beforeAutospacing="1" w:afterAutospacing="1"/>
        <w:rPr>
          <w:b/>
          <w:sz w:val="24"/>
          <w:szCs w:val="24"/>
        </w:rPr>
      </w:pPr>
      <w:r w:rsidRPr="00D41BEF">
        <w:rPr>
          <w:rFonts w:cs="Arial"/>
        </w:rPr>
        <w:t>According to a national Survey on Drug Use and Health prepared by the U.S. Substance Abuse and Mental Health Services Administration (SAMSHA) 2012-14, an estimated 2.95% of the Champlain Valley's population, ages 12 and older need treatment for an illicit substance abuse problem. Residents would also require affordable, appropriate, alcohol-free and drug-free housing with a range of management and supportive services, from a high level of on-site management (for treatment and early recovery) to self-management in housing such as Oxford Houses to self-management in an at-home setting.</w:t>
      </w:r>
    </w:p>
    <w:p w:rsidRPr="00D41BEF" w:rsidR="00204866" w:rsidP="00204866" w:rsidRDefault="00204866" w14:paraId="446ED267" w14:textId="77777777">
      <w:pPr>
        <w:keepNext/>
        <w:widowControl w:val="0"/>
        <w:spacing w:beforeAutospacing="1" w:afterAutospacing="1"/>
        <w:rPr>
          <w:b/>
          <w:sz w:val="24"/>
          <w:szCs w:val="24"/>
        </w:rPr>
      </w:pPr>
      <w:r w:rsidRPr="00D41BEF">
        <w:rPr>
          <w:rFonts w:cs="Arial"/>
        </w:rPr>
        <w:t>Nineteen individuals are served with HOPWA through three-member agencies of the CoC - Vermont Cares, Champlain Housing Trust and the Burlington Housing Authority.</w:t>
      </w:r>
    </w:p>
    <w:p w:rsidR="00204866" w:rsidP="00204866" w:rsidRDefault="00204866" w14:paraId="6A8A9E58" w14:textId="77777777">
      <w:r w:rsidRPr="00D41BEF">
        <w:rPr>
          <w:rFonts w:cs="Arial"/>
        </w:rPr>
        <w:t>All these projects and activities will be undertaken during this next year to address the housing and supportive services needs for persons with special needs.</w:t>
      </w:r>
    </w:p>
    <w:p w:rsidRPr="00ED22E1" w:rsidR="00777D08" w:rsidRDefault="00777D08" w14:paraId="2616154B" w14:textId="77777777">
      <w:pPr>
        <w:keepNext/>
        <w:widowControl w:val="0"/>
        <w:spacing w:after="0" w:line="240" w:lineRule="auto"/>
        <w:jc w:val="center"/>
        <w:rPr>
          <w:rFonts w:cs="Arial"/>
          <w:highlight w:val="lightGray"/>
        </w:rPr>
      </w:pPr>
    </w:p>
    <w:p w:rsidRPr="00F97486" w:rsidR="00C33E06" w:rsidP="00C33E06" w:rsidRDefault="00C33E06" w14:paraId="07245BFA" w14:textId="77777777">
      <w:pPr>
        <w:pStyle w:val="Heading2"/>
        <w:pageBreakBefore/>
        <w:widowControl w:val="0"/>
        <w:rPr>
          <w:rFonts w:ascii="Calibri" w:hAnsi="Calibri"/>
          <w:i w:val="0"/>
        </w:rPr>
      </w:pPr>
      <w:bookmarkStart w:name="_Hlk68005062" w:id="12"/>
      <w:r w:rsidRPr="00F97486">
        <w:rPr>
          <w:rFonts w:ascii="Calibri" w:hAnsi="Calibri"/>
          <w:i w:val="0"/>
        </w:rPr>
        <w:lastRenderedPageBreak/>
        <w:t>AP-75 Barriers to affordable housing – 91.220(j)</w:t>
      </w:r>
    </w:p>
    <w:p w:rsidRPr="00F97486" w:rsidR="00C33E06" w:rsidP="00C33E06" w:rsidRDefault="00C33E06" w14:paraId="18E94849" w14:textId="77777777">
      <w:pPr>
        <w:keepNext/>
        <w:widowControl w:val="0"/>
        <w:spacing w:line="204" w:lineRule="auto"/>
        <w:rPr>
          <w:b/>
          <w:sz w:val="24"/>
          <w:szCs w:val="24"/>
        </w:rPr>
      </w:pPr>
      <w:r w:rsidRPr="00F97486">
        <w:rPr>
          <w:b/>
          <w:sz w:val="24"/>
          <w:szCs w:val="24"/>
        </w:rPr>
        <w:t xml:space="preserve">Introduction: </w:t>
      </w:r>
    </w:p>
    <w:p w:rsidRPr="00816A9B" w:rsidR="00C33E06" w:rsidP="00C33E06" w:rsidRDefault="00C33E06" w14:paraId="4886D06A" w14:textId="77777777">
      <w:pPr>
        <w:keepNext/>
        <w:widowControl w:val="0"/>
        <w:spacing w:beforeAutospacing="1" w:afterAutospacing="1"/>
        <w:rPr>
          <w:b/>
          <w:sz w:val="24"/>
          <w:szCs w:val="24"/>
        </w:rPr>
      </w:pPr>
      <w:r w:rsidRPr="00F97486">
        <w:rPr>
          <w:rFonts w:cs="Arial"/>
        </w:rPr>
        <w:t>The City has addressed the barriers to affordable housing under the Market Analysis and Strategic Plan sections of the Consolidated Plan. </w:t>
      </w:r>
      <w:r w:rsidRPr="00816A9B">
        <w:rPr>
          <w:rFonts w:cs="Arial"/>
        </w:rPr>
        <w:t>There is a limited supply of housing units at all levels of the market and a low vacancy rate exacerbates the issue. In addition, our extensive student population creates a significant impact on Burlington's housing market. Over the years, many traditional single</w:t>
      </w:r>
      <w:r>
        <w:rPr>
          <w:rFonts w:cs="Arial"/>
        </w:rPr>
        <w:t>-</w:t>
      </w:r>
      <w:r w:rsidRPr="00816A9B">
        <w:rPr>
          <w:rFonts w:cs="Arial"/>
        </w:rPr>
        <w:t>family homes have been converted to student housing to accommodate the market, creating both an impact on the cost of housing and the change in neighborhoods. Burlington has a significantly higher percentage of renters and the cost of rent is increasing at a higher rate. Not only is the cost of housing high and the availability low, but the condition of the City's housing is noted as the 7</w:t>
      </w:r>
      <w:r w:rsidRPr="00706D1A">
        <w:rPr>
          <w:rFonts w:cs="Arial"/>
          <w:vertAlign w:val="superscript"/>
        </w:rPr>
        <w:t>th</w:t>
      </w:r>
      <w:r>
        <w:rPr>
          <w:rFonts w:cs="Arial"/>
        </w:rPr>
        <w:t xml:space="preserve"> </w:t>
      </w:r>
      <w:r w:rsidRPr="00816A9B">
        <w:rPr>
          <w:rFonts w:cs="Arial"/>
        </w:rPr>
        <w:t xml:space="preserve">oldest housing stock in the nation. Public policies that are controlled at the local level which impact the cost of housing include policies on historic preservation and </w:t>
      </w:r>
      <w:r>
        <w:rPr>
          <w:rFonts w:cs="Arial"/>
        </w:rPr>
        <w:t xml:space="preserve">lead-based paint safety </w:t>
      </w:r>
      <w:r w:rsidRPr="00816A9B">
        <w:rPr>
          <w:rFonts w:cs="Arial"/>
        </w:rPr>
        <w:t xml:space="preserve">practices.  These homes need energy efficient upgrades, lead-based paint hazard reduction, and other rehabilitation to make them safe, affordable and sustainable over the long term. The cost of housing is also impacted by accessibility and fire safety public policies.  In conjunction with planBTV and the Housing Action Plan, these concerns will be examined in order to facilitate infill development and diversified housing options in the City and especially in the downtown area.  </w:t>
      </w:r>
    </w:p>
    <w:p w:rsidRPr="00816A9B" w:rsidR="00772491" w:rsidP="00772491" w:rsidRDefault="00772491" w14:paraId="22B0AC2C" w14:textId="77777777">
      <w:pPr>
        <w:keepNext/>
        <w:widowControl w:val="0"/>
        <w:rPr>
          <w:b/>
          <w:sz w:val="24"/>
          <w:szCs w:val="24"/>
        </w:rPr>
      </w:pPr>
      <w:r w:rsidRPr="00816A9B">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Pr="00816A9B" w:rsidR="00772491" w:rsidP="00772491" w:rsidRDefault="00772491" w14:paraId="6EC9E20F" w14:textId="77777777">
      <w:pPr>
        <w:keepNext/>
        <w:widowControl w:val="0"/>
        <w:spacing w:beforeAutospacing="1" w:afterAutospacing="1"/>
        <w:rPr>
          <w:rFonts w:cs="Arial"/>
        </w:rPr>
      </w:pPr>
      <w:r w:rsidRPr="00816A9B">
        <w:rPr>
          <w:rFonts w:cs="Arial"/>
        </w:rPr>
        <w:t xml:space="preserve">In the Mayor's and City Council's </w:t>
      </w:r>
      <w:hyperlink w:history="1" r:id="rId22">
        <w:r w:rsidRPr="004E3D9C">
          <w:rPr>
            <w:rStyle w:val="Hyperlink"/>
            <w:rFonts w:cs="Arial"/>
          </w:rPr>
          <w:t>Housing Action Plan</w:t>
        </w:r>
      </w:hyperlink>
      <w:r w:rsidRPr="00816A9B">
        <w:rPr>
          <w:rFonts w:cs="Arial"/>
        </w:rPr>
        <w:t>, 22 initiatives were outlined to decrease the cost of housing, increase the supply of housing and ensure Burlington is more affordable, inclusive, livable, walkable, sustainable, and vibrant for all its residents.  The first section of the Plan focused on addressing some of the regulatory barriers that have limited Burlington’s ability to create new subsidized and non-subsidized housing options over the last 15 years. In the second section, the Housing Action Plan focused on using existing municipal tools strategically and expanding public resources to develop perpetually affordable low-income housing, promote the value of inclusion described in the City’s inclusionary zoning ordinance, and better support those not eligible for subsidy but unable to compete within Burlington’s housing market. The final three categories of the Plan, while related to the fundamental challenge in Burlington – a lack of housing stock – focused on continuing community challenges that extend beyond questions of supply and demand.</w:t>
      </w:r>
    </w:p>
    <w:p w:rsidRPr="00816A9B" w:rsidR="00772491" w:rsidP="00772491" w:rsidRDefault="00772491" w14:paraId="51F23DA1" w14:textId="77777777">
      <w:pPr>
        <w:keepNext/>
        <w:widowControl w:val="0"/>
        <w:spacing w:beforeAutospacing="1" w:afterAutospacing="1"/>
        <w:rPr>
          <w:rFonts w:cs="Arial"/>
        </w:rPr>
      </w:pPr>
      <w:r w:rsidRPr="00816A9B">
        <w:rPr>
          <w:rFonts w:cs="Arial"/>
        </w:rPr>
        <w:t xml:space="preserve">The City of Burlington has long prioritized creating affordable housing for low- and moderate-income residents throughout the City while still addressing affordability concerns among other socioeconomic demographics. Additionally, the City continues to develop housing solutions and policies to combat its notably low vacancy rate and ensure quality housing and conditions for tenants, landlords, and </w:t>
      </w:r>
      <w:r w:rsidRPr="00816A9B">
        <w:rPr>
          <w:rFonts w:cs="Arial"/>
        </w:rPr>
        <w:lastRenderedPageBreak/>
        <w:t>homeowners.  </w:t>
      </w:r>
    </w:p>
    <w:p w:rsidRPr="00706D1A" w:rsidR="00772491" w:rsidP="00772491" w:rsidRDefault="00772491" w14:paraId="55331DC8" w14:textId="77777777">
      <w:pPr>
        <w:keepNext/>
        <w:widowControl w:val="0"/>
        <w:spacing w:beforeAutospacing="1" w:afterAutospacing="1"/>
        <w:rPr>
          <w:rFonts w:asciiTheme="minorHAnsi" w:hAnsiTheme="minorHAnsi" w:cstheme="minorHAnsi"/>
          <w:highlight w:val="yellow"/>
        </w:rPr>
      </w:pPr>
      <w:r w:rsidRPr="00D45983">
        <w:rPr>
          <w:rFonts w:cs="Arial"/>
        </w:rPr>
        <w:t xml:space="preserve">Since the passage of Burlington’s Housing Action Plan in October 2015, the City has made substantial progress. Specifically, for </w:t>
      </w:r>
      <w:r w:rsidRPr="00706D1A">
        <w:rPr>
          <w:rFonts w:cs="Arial"/>
        </w:rPr>
        <w:t>five of the last six</w:t>
      </w:r>
      <w:r w:rsidRPr="00D45983">
        <w:rPr>
          <w:rFonts w:cs="Arial"/>
        </w:rPr>
        <w:t xml:space="preserve"> year</w:t>
      </w:r>
      <w:r w:rsidRPr="00706D1A">
        <w:rPr>
          <w:rFonts w:cs="Arial"/>
        </w:rPr>
        <w:t>s</w:t>
      </w:r>
      <w:r w:rsidRPr="00D45983">
        <w:rPr>
          <w:rFonts w:cs="Arial"/>
        </w:rPr>
        <w:t>, the Burlington Housing Trust Fund was funded at almost twice its historic level provid</w:t>
      </w:r>
      <w:r w:rsidRPr="00706D1A">
        <w:rPr>
          <w:rFonts w:cs="Arial"/>
        </w:rPr>
        <w:t>ing</w:t>
      </w:r>
      <w:r w:rsidRPr="00D45983">
        <w:rPr>
          <w:rFonts w:cs="Arial"/>
        </w:rPr>
        <w:t xml:space="preserve"> additional support for the preservation of affordable housing for residents of the North Avenue </w:t>
      </w:r>
      <w:r w:rsidRPr="00706D1A">
        <w:rPr>
          <w:rFonts w:cs="Arial"/>
        </w:rPr>
        <w:t xml:space="preserve">and Thelma Maple </w:t>
      </w:r>
      <w:r w:rsidRPr="00D45983">
        <w:rPr>
          <w:rFonts w:cs="Arial"/>
        </w:rPr>
        <w:t>Cooperative</w:t>
      </w:r>
      <w:r w:rsidRPr="00706D1A">
        <w:rPr>
          <w:rFonts w:cs="Arial"/>
        </w:rPr>
        <w:t>s,</w:t>
      </w:r>
      <w:r>
        <w:rPr>
          <w:rFonts w:cs="Arial"/>
        </w:rPr>
        <w:t xml:space="preserve"> </w:t>
      </w:r>
      <w:r w:rsidRPr="00706D1A">
        <w:rPr>
          <w:rFonts w:cs="Arial"/>
        </w:rPr>
        <w:t>a COTS shelter at The Wilson, and senior housing at Cathedral Square Senior Housing and Ruggles House.</w:t>
      </w:r>
      <w:r w:rsidRPr="00D45983">
        <w:rPr>
          <w:rFonts w:cs="Arial"/>
        </w:rPr>
        <w:t xml:space="preserve">, </w:t>
      </w:r>
      <w:r w:rsidRPr="00706D1A">
        <w:rPr>
          <w:rFonts w:cs="Arial"/>
        </w:rPr>
        <w:t>The Housing Trust Fund also provided substantial support for the creation of new permanently affordable housing at the Juniper House, and Laurentide Apartments as well as funding the creation of shared-equity homes through the Champlain Housing Trust and Green Mountain Habitat from Humanity</w:t>
      </w:r>
      <w:r w:rsidRPr="00D45983">
        <w:rPr>
          <w:rFonts w:cs="Arial"/>
        </w:rPr>
        <w:t>.</w:t>
      </w:r>
      <w:r w:rsidRPr="00DD0102">
        <w:rPr>
          <w:rFonts w:cs="Arial"/>
        </w:rPr>
        <w:t xml:space="preserve"> </w:t>
      </w:r>
      <w:r w:rsidRPr="00DD0102">
        <w:rPr>
          <w:rFonts w:asciiTheme="minorHAnsi" w:hAnsiTheme="minorHAnsi" w:cstheme="minorHAnsi"/>
        </w:rPr>
        <w:t xml:space="preserve">Additionally, in November 2017, the City adopted planBTV: Downtown Code, the new downtown form-based aimed at reducing uncertainty of development permits and encouraging new housing investment. Progress continued too, between the City and its partners - the University of Vermont and Champlain College - in the pursuit of strategies for housing college students to improve the quality of life in near-institution neighborhoods and reduce pressure on rents. To this end, in the last </w:t>
      </w:r>
      <w:r w:rsidRPr="00706D1A">
        <w:rPr>
          <w:rFonts w:asciiTheme="minorHAnsi" w:hAnsiTheme="minorHAnsi" w:cstheme="minorHAnsi"/>
        </w:rPr>
        <w:t>five</w:t>
      </w:r>
      <w:r w:rsidRPr="00DD0102">
        <w:rPr>
          <w:rFonts w:asciiTheme="minorHAnsi" w:hAnsiTheme="minorHAnsi" w:cstheme="minorHAnsi"/>
        </w:rPr>
        <w:t xml:space="preserve"> years, these institutions have each built new on campus housing for about 300 students, with one new residential building opening in the fall of 2018.</w:t>
      </w:r>
    </w:p>
    <w:p w:rsidRPr="004E3D9C" w:rsidR="00772491" w:rsidP="00772491" w:rsidRDefault="00772491" w14:paraId="250A68C2" w14:textId="77777777">
      <w:pPr>
        <w:keepNext/>
        <w:widowControl w:val="0"/>
        <w:spacing w:beforeAutospacing="1" w:afterAutospacing="1"/>
        <w:rPr>
          <w:rFonts w:asciiTheme="minorHAnsi" w:hAnsiTheme="minorHAnsi" w:cstheme="minorHAnsi"/>
          <w:b/>
          <w:sz w:val="24"/>
          <w:szCs w:val="24"/>
        </w:rPr>
      </w:pPr>
      <w:r w:rsidRPr="004E3D9C">
        <w:rPr>
          <w:rFonts w:asciiTheme="minorHAnsi" w:hAnsiTheme="minorHAnsi" w:cstheme="minorHAnsi"/>
          <w:shd w:val="clear" w:color="auto" w:fill="FFFFFF"/>
        </w:rPr>
        <w:t>On June 11, 2019 the Mayor’s Office hosted the Burlington Housing Summit in order to review a range of key housing policies first outlined in our 2015 </w:t>
      </w:r>
      <w:r w:rsidRPr="00706D1A">
        <w:t>Housing Action Plan</w:t>
      </w:r>
      <w:r w:rsidRPr="004E3D9C">
        <w:rPr>
          <w:rFonts w:asciiTheme="minorHAnsi" w:hAnsiTheme="minorHAnsi" w:cstheme="minorHAnsi"/>
          <w:shd w:val="clear" w:color="auto" w:fill="FFFFFF"/>
        </w:rPr>
        <w:t xml:space="preserve">, including: the City’s downtown parking policies, rule changes to create more Accessory Dwelling Units (ADUs) throughout the City, increased funding to Burlington’s local Housing Trust Fund, policies to regulate short-term rentals, and updates to protect renters from unreasonably and wastefully high utility costs. The Summit included space to hear from the community about other ideas we should consider in the future. The Summit led to specific policy recommendations which are at various stages of public review. Increasing Burlington’s Housing Trust Fund was approved by City Council, went to a public vote in March and was approved by voters. This increase </w:t>
      </w:r>
      <w:r w:rsidRPr="00706D1A">
        <w:rPr>
          <w:rFonts w:asciiTheme="minorHAnsi" w:hAnsiTheme="minorHAnsi" w:cstheme="minorHAnsi"/>
          <w:shd w:val="clear" w:color="auto" w:fill="FFFFFF"/>
        </w:rPr>
        <w:t xml:space="preserve">has been </w:t>
      </w:r>
      <w:r w:rsidRPr="004E3D9C">
        <w:rPr>
          <w:rFonts w:asciiTheme="minorHAnsi" w:hAnsiTheme="minorHAnsi" w:cstheme="minorHAnsi"/>
          <w:shd w:val="clear" w:color="auto" w:fill="FFFFFF"/>
        </w:rPr>
        <w:t>approv</w:t>
      </w:r>
      <w:r w:rsidRPr="00706D1A">
        <w:rPr>
          <w:rFonts w:asciiTheme="minorHAnsi" w:hAnsiTheme="minorHAnsi" w:cstheme="minorHAnsi"/>
          <w:shd w:val="clear" w:color="auto" w:fill="FFFFFF"/>
        </w:rPr>
        <w:t>ed</w:t>
      </w:r>
      <w:r w:rsidRPr="004E3D9C">
        <w:rPr>
          <w:rFonts w:asciiTheme="minorHAnsi" w:hAnsiTheme="minorHAnsi" w:cstheme="minorHAnsi"/>
          <w:shd w:val="clear" w:color="auto" w:fill="FFFFFF"/>
        </w:rPr>
        <w:t xml:space="preserve"> by the Vermont </w:t>
      </w:r>
      <w:r w:rsidRPr="00F64BC8">
        <w:rPr>
          <w:rFonts w:asciiTheme="minorHAnsi" w:hAnsiTheme="minorHAnsi" w:cstheme="minorHAnsi"/>
          <w:shd w:val="clear" w:color="auto" w:fill="FFFFFF"/>
        </w:rPr>
        <w:t>legislature</w:t>
      </w:r>
      <w:r w:rsidRPr="00706D1A">
        <w:rPr>
          <w:rFonts w:asciiTheme="minorHAnsi" w:hAnsiTheme="minorHAnsi" w:cstheme="minorHAnsi"/>
          <w:shd w:val="clear" w:color="auto" w:fill="FFFFFF"/>
        </w:rPr>
        <w:t xml:space="preserve"> and is expected to take effect during the fiscal year starting July 1, 2021</w:t>
      </w:r>
    </w:p>
    <w:p w:rsidR="6A7B4933" w:rsidP="4F091922" w:rsidRDefault="6A7B4933" w14:paraId="68319B23" w14:textId="6A351741">
      <w:pPr>
        <w:jc w:val="both"/>
        <w:rPr>
          <w:rFonts w:asciiTheme="minorHAnsi" w:hAnsiTheme="minorHAnsi" w:eastAsiaTheme="minorEastAsia" w:cstheme="minorBidi"/>
        </w:rPr>
      </w:pPr>
      <w:r w:rsidRPr="4F091922">
        <w:rPr>
          <w:rFonts w:asciiTheme="minorHAnsi" w:hAnsiTheme="minorHAnsi" w:eastAsiaTheme="minorEastAsia" w:cstheme="minorBidi"/>
        </w:rPr>
        <w:t>The policy changes around the four proposals that have been adopted relate to (i) Accessory Dwelling Units (ADUs) which make it easier for people to create ADUs and offers more flexibility for families to age in place and create additional neighborhood-scale housing options throughout the City; (ii) Housing Trust Fund (HTF) that restores and increases the level of dedicated funding to Burlington’s HTF which supports the creation and preservation of permanently affordable housing; (iii) Parking minimums which reform the City’s requirements for building new parking in residential developments in the downtown and along key transportation corridors in order to reduce a major cost driver to housing; (iv) Energy efficiency standards in rental housing updated in order to support Burlington’s climate goals and protect renters from unreasonably high utility costs.</w:t>
      </w:r>
    </w:p>
    <w:p w:rsidR="4F091922" w:rsidP="4F091922" w:rsidRDefault="4F091922" w14:paraId="2C59C232" w14:textId="04E1B170">
      <w:pPr>
        <w:spacing w:beforeAutospacing="1" w:afterAutospacing="1"/>
        <w:rPr>
          <w:rFonts w:asciiTheme="minorHAnsi" w:hAnsiTheme="minorHAnsi" w:cstheme="minorBidi"/>
          <w:highlight w:val="lightGray"/>
        </w:rPr>
      </w:pPr>
    </w:p>
    <w:p w:rsidR="107E12A2" w:rsidP="107E12A2" w:rsidRDefault="107E12A2" w14:paraId="08C1B2B2" w14:textId="29079E6F">
      <w:pPr>
        <w:spacing w:line="204" w:lineRule="auto"/>
        <w:rPr>
          <w:b/>
          <w:bCs/>
          <w:sz w:val="24"/>
          <w:szCs w:val="24"/>
          <w:highlight w:val="lightGray"/>
        </w:rPr>
      </w:pPr>
    </w:p>
    <w:p w:rsidRPr="004C352D" w:rsidR="00777D08" w:rsidRDefault="00211F76" w14:paraId="3747D09E" w14:textId="77777777">
      <w:pPr>
        <w:keepNext/>
        <w:widowControl w:val="0"/>
        <w:spacing w:line="204" w:lineRule="auto"/>
        <w:rPr>
          <w:b/>
          <w:sz w:val="24"/>
          <w:szCs w:val="24"/>
        </w:rPr>
      </w:pPr>
      <w:r w:rsidRPr="004C352D">
        <w:rPr>
          <w:b/>
          <w:sz w:val="24"/>
          <w:szCs w:val="24"/>
        </w:rPr>
        <w:lastRenderedPageBreak/>
        <w:t xml:space="preserve">Discussion: </w:t>
      </w:r>
    </w:p>
    <w:p w:rsidRPr="00ED22E1" w:rsidR="00777D08" w:rsidRDefault="00211F76" w14:paraId="591B0986" w14:textId="53FCD0A4">
      <w:pPr>
        <w:keepNext/>
        <w:widowControl w:val="0"/>
        <w:spacing w:beforeAutospacing="1" w:afterAutospacing="1"/>
        <w:rPr>
          <w:b/>
          <w:sz w:val="24"/>
          <w:szCs w:val="24"/>
          <w:highlight w:val="lightGray"/>
        </w:rPr>
      </w:pPr>
      <w:r w:rsidRPr="004C352D">
        <w:rPr>
          <w:rFonts w:cs="Arial"/>
        </w:rPr>
        <w:t xml:space="preserve">The City continues to extensively review barriers to housing affordability and the creation of both affordable and market rate housing, exploring all aspects of the development review process, zoning application fees, and inclusionary housing requirements with an emphasis on addressing challenges most often raised by </w:t>
      </w:r>
      <w:r w:rsidRPr="004C352D" w:rsidR="00816A9B">
        <w:rPr>
          <w:rFonts w:cs="Arial"/>
        </w:rPr>
        <w:t xml:space="preserve">housing </w:t>
      </w:r>
      <w:r w:rsidRPr="004C352D">
        <w:rPr>
          <w:rFonts w:cs="Arial"/>
        </w:rPr>
        <w:t>developers.</w:t>
      </w:r>
    </w:p>
    <w:p w:rsidRPr="00F64BC8" w:rsidR="004C352D" w:rsidP="004C352D" w:rsidRDefault="00211F76" w14:paraId="125C6F37" w14:textId="77777777">
      <w:pPr>
        <w:keepNext/>
        <w:widowControl w:val="0"/>
        <w:spacing w:beforeAutospacing="1" w:afterAutospacing="1"/>
        <w:rPr>
          <w:b/>
          <w:sz w:val="24"/>
          <w:szCs w:val="24"/>
        </w:rPr>
      </w:pPr>
      <w:r w:rsidRPr="004C352D">
        <w:rPr>
          <w:rFonts w:cs="Arial"/>
        </w:rPr>
        <w:t xml:space="preserve">To this end, in November 2017, the City adopted planBTV: Downtown Code (form-based code), intended to foster more predictable built results, regulating all development in the Downtown and Waterfront area.  </w:t>
      </w:r>
      <w:r w:rsidRPr="00F64BC8" w:rsidR="004C352D">
        <w:rPr>
          <w:rFonts w:cs="Arial"/>
        </w:rPr>
        <w:t>The City has also undertaken a thorough evaluation of its Inclusionary Zoning ordinance and a working task force has reviewed the recommendations from the consultant. Based on this work, in December 2018 the City Council directed the Planning Commission to revise the Inclusionary Zoning Ordinance. Changes to the Inclusionary Zoning ordinance were approved by the City Council in 2019.</w:t>
      </w:r>
    </w:p>
    <w:p w:rsidR="004C352D" w:rsidP="004C352D" w:rsidRDefault="004C352D" w14:paraId="7BDBBACA" w14:textId="2A7BF33F">
      <w:pPr>
        <w:rPr>
          <w:b/>
          <w:bCs/>
        </w:rPr>
      </w:pPr>
      <w:r w:rsidRPr="00405222">
        <w:rPr>
          <w:bCs/>
        </w:rPr>
        <w:t>The City has made significant progress on evaluating and addressing the impact of Short-Term Rentals. Zoning Amendment 20-05</w:t>
      </w:r>
      <w:r w:rsidRPr="00405222">
        <w:rPr>
          <w:rFonts w:eastAsiaTheme="minorHAnsi"/>
          <w:bCs/>
        </w:rPr>
        <w:t xml:space="preserve"> </w:t>
      </w:r>
      <w:r>
        <w:rPr>
          <w:rFonts w:eastAsiaTheme="minorHAnsi"/>
          <w:bCs/>
        </w:rPr>
        <w:t xml:space="preserve">proposes to </w:t>
      </w:r>
      <w:r w:rsidRPr="00276FF9">
        <w:t>c</w:t>
      </w:r>
      <w:r>
        <w:t>reate</w:t>
      </w:r>
      <w:r w:rsidRPr="00276FF9">
        <w:t xml:space="preserve"> a new regulatory framework aimed at minimizing the potential for adverse impacts to the city’s housing stock, while balancing some flexibility for hosts to operate short term rentals. Together with amendments to Minimum Housing Standards in the City’s Code of Ordinances (Chapter 18), a proposed zoning amendment is intended to allow the short-term rental of bedrooms within a dwelling, and the use of a host’s own dwelling occasionally as a short-term rental, with minimal burden to the host. Per-building caps are applied to whole unit short term rentals operated by off-site hosts so as to limit their proliferation. In an effort to balance the benefits to hosts with the preservation of long-term housing stock, short term rentals would generally be allowed wherever residential uses are allowed; however, in most scenarios, hosts must be a resident of the property. </w:t>
      </w:r>
      <w:r w:rsidRPr="00405222">
        <w:rPr>
          <w:rFonts w:eastAsiaTheme="minorHAnsi"/>
          <w:bCs/>
        </w:rPr>
        <w:t xml:space="preserve">This amendment, along with </w:t>
      </w:r>
      <w:r>
        <w:rPr>
          <w:rFonts w:eastAsiaTheme="minorHAnsi"/>
          <w:bCs/>
        </w:rPr>
        <w:t>a</w:t>
      </w:r>
      <w:r w:rsidRPr="00405222">
        <w:rPr>
          <w:rFonts w:eastAsiaTheme="minorHAnsi"/>
          <w:bCs/>
        </w:rPr>
        <w:t xml:space="preserve"> proposed change to minimum housing code, </w:t>
      </w:r>
      <w:r w:rsidRPr="00276FF9">
        <w:t>are currently under consideration by a Joint Committee of the City Council Ordinance Committee and Planning Commission who will hold a public hearing on Tuesday, April 13, 2021 before forwarding a final recommendation on to the City Council.</w:t>
      </w:r>
      <w:r w:rsidRPr="00276FF9">
        <w:rPr>
          <w:b/>
          <w:bCs/>
        </w:rPr>
        <w:t xml:space="preserve"> </w:t>
      </w:r>
    </w:p>
    <w:p w:rsidRPr="00013081" w:rsidR="004C352D" w:rsidP="004C352D" w:rsidRDefault="004C352D" w14:paraId="3799DAE2" w14:textId="77777777">
      <w:pPr>
        <w:rPr>
          <w:bCs/>
        </w:rPr>
      </w:pPr>
      <w:r w:rsidRPr="00013081">
        <w:t xml:space="preserve">Significant changes have been made to </w:t>
      </w:r>
      <w:r w:rsidRPr="00405222">
        <w:rPr>
          <w:bCs/>
        </w:rPr>
        <w:t>on-site parking minimums as well.</w:t>
      </w:r>
      <w:r w:rsidRPr="00013081">
        <w:t xml:space="preserve"> </w:t>
      </w:r>
      <w:r>
        <w:t>On Sept. 14, 2020,</w:t>
      </w:r>
      <w:r w:rsidRPr="00DC5162">
        <w:t xml:space="preserve"> </w:t>
      </w:r>
      <w:r>
        <w:t>the Burlington City Council</w:t>
      </w:r>
      <w:r w:rsidRPr="00013081">
        <w:t xml:space="preserve"> </w:t>
      </w:r>
      <w:r>
        <w:t xml:space="preserve">adopted </w:t>
      </w:r>
      <w:r w:rsidRPr="00405222">
        <w:rPr>
          <w:bCs/>
        </w:rPr>
        <w:t>Zoning amendment 20-04</w:t>
      </w:r>
      <w:r>
        <w:t xml:space="preserve"> which </w:t>
      </w:r>
      <w:r w:rsidRPr="00013081">
        <w:t>eliminated</w:t>
      </w:r>
      <w:r w:rsidRPr="00DC5162">
        <w:t xml:space="preserve"> minimum onsite parking requirements from places where a concentration of mixed-use development exists and is planned, and that are served by a variety of transportation modes that make car ownership less of a necessity.</w:t>
      </w:r>
      <w:r w:rsidRPr="00405222">
        <w:rPr>
          <w:bCs/>
        </w:rPr>
        <w:t xml:space="preserve"> </w:t>
      </w:r>
      <w:r w:rsidRPr="00013081">
        <w:t xml:space="preserve">Specific elements of this amendment include: </w:t>
      </w:r>
    </w:p>
    <w:p w:rsidR="004C352D" w:rsidP="004C352D" w:rsidRDefault="004C352D" w14:paraId="246EE18D" w14:textId="77777777">
      <w:pPr>
        <w:pStyle w:val="ListParagraph"/>
        <w:numPr>
          <w:ilvl w:val="0"/>
          <w:numId w:val="21"/>
        </w:numPr>
        <w:autoSpaceDN w:val="0"/>
        <w:spacing w:after="0" w:line="240" w:lineRule="auto"/>
        <w:contextualSpacing w:val="0"/>
      </w:pPr>
      <w:r>
        <w:t>Creating a “Mixed Use Multimodal Parking District” (formerly “Downtown”) with no minimum on-site parking requirements</w:t>
      </w:r>
    </w:p>
    <w:p w:rsidR="004C352D" w:rsidP="004C352D" w:rsidRDefault="004C352D" w14:paraId="4CCFA2B5" w14:textId="77777777">
      <w:pPr>
        <w:pStyle w:val="ListParagraph"/>
        <w:numPr>
          <w:ilvl w:val="0"/>
          <w:numId w:val="21"/>
        </w:numPr>
        <w:autoSpaceDN w:val="0"/>
        <w:spacing w:after="0" w:line="240" w:lineRule="auto"/>
        <w:contextualSpacing w:val="0"/>
      </w:pPr>
      <w:r>
        <w:t>Exempting the following from providing on-site parking regardless of where they are located:</w:t>
      </w:r>
    </w:p>
    <w:p w:rsidR="004C352D" w:rsidP="004C352D" w:rsidRDefault="004C352D" w14:paraId="54A1D457" w14:textId="77777777">
      <w:pPr>
        <w:pStyle w:val="ListParagraph"/>
        <w:numPr>
          <w:ilvl w:val="1"/>
          <w:numId w:val="21"/>
        </w:numPr>
        <w:autoSpaceDN w:val="0"/>
        <w:spacing w:after="0" w:line="240" w:lineRule="auto"/>
      </w:pPr>
      <w:r>
        <w:t>Permanently affordable housing units</w:t>
      </w:r>
    </w:p>
    <w:p w:rsidR="004C352D" w:rsidP="004C352D" w:rsidRDefault="004C352D" w14:paraId="5F5BFE99" w14:textId="77777777">
      <w:pPr>
        <w:pStyle w:val="ListParagraph"/>
        <w:numPr>
          <w:ilvl w:val="1"/>
          <w:numId w:val="21"/>
        </w:numPr>
        <w:autoSpaceDN w:val="0"/>
        <w:spacing w:after="0" w:line="240" w:lineRule="auto"/>
      </w:pPr>
      <w:r>
        <w:t>Rehabilitation of a listed historic building</w:t>
      </w:r>
    </w:p>
    <w:p w:rsidR="004C352D" w:rsidP="004C352D" w:rsidRDefault="004C352D" w14:paraId="67430A1F" w14:textId="77777777">
      <w:pPr>
        <w:pStyle w:val="ListParagraph"/>
        <w:numPr>
          <w:ilvl w:val="1"/>
          <w:numId w:val="21"/>
        </w:numPr>
        <w:autoSpaceDN w:val="0"/>
        <w:spacing w:after="0" w:line="240" w:lineRule="auto"/>
      </w:pPr>
      <w:r>
        <w:t>Accessory Dwelling Units</w:t>
      </w:r>
    </w:p>
    <w:p w:rsidR="004C352D" w:rsidP="004C352D" w:rsidRDefault="004C352D" w14:paraId="11E83F9A" w14:textId="77777777">
      <w:pPr>
        <w:pStyle w:val="ListParagraph"/>
        <w:numPr>
          <w:ilvl w:val="0"/>
          <w:numId w:val="21"/>
        </w:numPr>
        <w:autoSpaceDN w:val="0"/>
        <w:spacing w:after="0" w:line="240" w:lineRule="auto"/>
        <w:contextualSpacing w:val="0"/>
      </w:pPr>
      <w:r>
        <w:t>Modernizing the dimensional standards for parking spaces, adds dimensions for tandem, scooter and motorcycle spaces, and, increase proportion of compact spaces to 50%</w:t>
      </w:r>
    </w:p>
    <w:p w:rsidR="004C352D" w:rsidP="004C352D" w:rsidRDefault="004C352D" w14:paraId="15DC9F7C" w14:textId="77777777">
      <w:pPr>
        <w:pStyle w:val="ListParagraph"/>
        <w:numPr>
          <w:ilvl w:val="0"/>
          <w:numId w:val="21"/>
        </w:numPr>
        <w:autoSpaceDN w:val="0"/>
        <w:spacing w:after="0" w:line="240" w:lineRule="auto"/>
        <w:contextualSpacing w:val="0"/>
      </w:pPr>
      <w:r>
        <w:lastRenderedPageBreak/>
        <w:t>Lowering the Maximum On-Site Parking Requirements within each of the 3 Parking Districts and strikes the exemption for structured parking; and,</w:t>
      </w:r>
    </w:p>
    <w:p w:rsidR="004C352D" w:rsidP="004C352D" w:rsidRDefault="004C352D" w14:paraId="4BDF15CA" w14:textId="77777777">
      <w:pPr>
        <w:pStyle w:val="ListParagraph"/>
        <w:autoSpaceDN w:val="0"/>
      </w:pPr>
    </w:p>
    <w:p w:rsidRPr="00405222" w:rsidR="004C352D" w:rsidP="004C352D" w:rsidRDefault="004C352D" w14:paraId="4853B3A2" w14:textId="77777777">
      <w:pPr>
        <w:rPr>
          <w:rFonts w:eastAsiaTheme="minorHAnsi"/>
        </w:rPr>
      </w:pPr>
      <w:r>
        <w:t xml:space="preserve">Further, on Feb 18, 2020, the Burlington City Council adopted changes to the Zoning ordinance related to </w:t>
      </w:r>
      <w:r>
        <w:rPr>
          <w:b/>
          <w:bCs/>
        </w:rPr>
        <w:t>Accessory Dwelling Units. Zoning amendment 20-03</w:t>
      </w:r>
      <w:r>
        <w:rPr>
          <w:rFonts w:eastAsiaTheme="minorHAnsi"/>
        </w:rPr>
        <w:t xml:space="preserve"> </w:t>
      </w:r>
      <w:r>
        <w:t>encouraged the creation of accessory dwelling units (ADU’s) throughout the city to support homeowners as they age in place, provide flexible options to help owners afford and better utilize available space within their homes, and to provide additional affordable housing options within existing neighborhoods. This amendment modifies applicable ADU and other citywide general standards, including enabling ADU’s as a permitted use in all zoning districts, creating an alternative maximum unit size and lot coverage waiver process, and eliminating the parking requirement.</w:t>
      </w:r>
    </w:p>
    <w:p w:rsidR="004C352D" w:rsidP="004C352D" w:rsidRDefault="004C352D" w14:paraId="1DD21100" w14:textId="77777777">
      <w:r>
        <w:t xml:space="preserve">The following changes were made to the </w:t>
      </w:r>
      <w:r>
        <w:rPr>
          <w:i/>
          <w:iCs/>
        </w:rPr>
        <w:t>Comprehensive Development Ordinance</w:t>
      </w:r>
      <w:r>
        <w:t xml:space="preserve"> in order to achieve these goals:</w:t>
      </w:r>
    </w:p>
    <w:p w:rsidR="004C352D" w:rsidP="004C352D" w:rsidRDefault="004C352D" w14:paraId="1EE2E2A7" w14:textId="77777777">
      <w:pPr>
        <w:pStyle w:val="ListParagraph"/>
        <w:numPr>
          <w:ilvl w:val="1"/>
          <w:numId w:val="20"/>
        </w:numPr>
        <w:spacing w:after="0" w:line="240" w:lineRule="auto"/>
        <w:ind w:left="1440"/>
        <w:contextualSpacing w:val="0"/>
      </w:pPr>
      <w:r>
        <w:t xml:space="preserve">Enabling Accessory Dwelling Units as a permitted use for single-family homes in all zoning districts by eliminating Sec. 5.4.5 (B), clarifying Sections 5.3.4 (a) 2.A and 5.3.4 (a) 2.C, and deleting Accessory Dwelling Units from Appendix A- Use Table. </w:t>
      </w:r>
    </w:p>
    <w:p w:rsidR="004C352D" w:rsidP="004C352D" w:rsidRDefault="004C352D" w14:paraId="011DD63F" w14:textId="77777777">
      <w:pPr>
        <w:pStyle w:val="ListParagraph"/>
        <w:numPr>
          <w:ilvl w:val="1"/>
          <w:numId w:val="20"/>
        </w:numPr>
        <w:spacing w:after="0" w:line="240" w:lineRule="auto"/>
        <w:ind w:left="1440"/>
        <w:contextualSpacing w:val="0"/>
      </w:pPr>
      <w:r>
        <w:t>Increasing the maximum size for ADU’s to accommodate their location on lots with smaller homes, by adding an alternative maximum size in Sec. 5.4.5 (A)(2).</w:t>
      </w:r>
    </w:p>
    <w:p w:rsidR="004C352D" w:rsidP="004C352D" w:rsidRDefault="004C352D" w14:paraId="70B0DD7D" w14:textId="77777777">
      <w:pPr>
        <w:pStyle w:val="ListParagraph"/>
        <w:numPr>
          <w:ilvl w:val="1"/>
          <w:numId w:val="20"/>
        </w:numPr>
        <w:spacing w:after="0" w:line="240" w:lineRule="auto"/>
        <w:ind w:left="1440"/>
        <w:contextualSpacing w:val="0"/>
      </w:pPr>
      <w:r>
        <w:t>Allowing for a portion of the lot coverage associated with a detached ADU to be exempt based on a stormwater impact review provision within a new Sec 5.2.3 (b) 10, and noted in Sec. 5.3.5 (a), in order to accommodate ADU’s on smaller lots.</w:t>
      </w:r>
    </w:p>
    <w:p w:rsidR="004C352D" w:rsidP="004C352D" w:rsidRDefault="004C352D" w14:paraId="4C2E03DD" w14:textId="77777777">
      <w:pPr>
        <w:pStyle w:val="ListParagraph"/>
        <w:numPr>
          <w:ilvl w:val="1"/>
          <w:numId w:val="20"/>
        </w:numPr>
        <w:spacing w:after="0" w:line="240" w:lineRule="auto"/>
        <w:ind w:left="1440"/>
        <w:contextualSpacing w:val="0"/>
      </w:pPr>
      <w:r>
        <w:t xml:space="preserve">Eliminating the parking requirement associated with an ADU by deleting Sec.5.4.5(A)(4) and enable stacked parking for ADUs within Sec. 8.1.14. </w:t>
      </w:r>
    </w:p>
    <w:p w:rsidRPr="00ED22E1" w:rsidR="00777D08" w:rsidP="1B18B7DB" w:rsidRDefault="73F283D3" w14:paraId="23822C54" w14:textId="7F235982">
      <w:pPr>
        <w:keepNext/>
        <w:widowControl w:val="0"/>
        <w:spacing w:beforeAutospacing="1" w:afterAutospacing="1"/>
        <w:rPr>
          <w:b/>
          <w:bCs/>
          <w:sz w:val="24"/>
          <w:szCs w:val="24"/>
          <w:highlight w:val="lightGray"/>
        </w:rPr>
      </w:pPr>
      <w:r w:rsidRPr="361C8B76">
        <w:rPr>
          <w:rFonts w:asciiTheme="minorHAnsi" w:hAnsiTheme="minorHAnsi" w:eastAsiaTheme="minorEastAsia" w:cstheme="minorBidi"/>
        </w:rPr>
        <w:t>In September 2020, the City reformed its parking minimum requirements for building new parking in residential developments in the downtown and along key transportation corridors in order to reduce a major cost driver of housing, give people more choices when it comes to the cost of car ownership and take a step toward aligning the City’s land use policies with its climate goals. Since the adoption of this policy reform, two significant projects have applied for permits to create housing that would benefit from this policy change, for a combined 490 new homes.</w:t>
      </w:r>
    </w:p>
    <w:p w:rsidRPr="004C352D" w:rsidR="00777D08" w:rsidRDefault="00211F76" w14:paraId="7F6F22C6" w14:textId="63DBCE01">
      <w:pPr>
        <w:keepNext/>
        <w:widowControl w:val="0"/>
        <w:spacing w:beforeAutospacing="1" w:afterAutospacing="1"/>
        <w:rPr>
          <w:b/>
          <w:sz w:val="24"/>
          <w:szCs w:val="24"/>
        </w:rPr>
      </w:pPr>
      <w:r w:rsidRPr="004C352D">
        <w:rPr>
          <w:rFonts w:cs="Arial"/>
        </w:rPr>
        <w:t>Finally, the City will continue to work with the Vermont Legislature to ensure fair property tax policy for deed-restricted, perpetually-affordable owner-occupied homes. There are over 200 such homes in Burlington and the City will continue to advocate for taxation based on the restricted value of the subjected homes.</w:t>
      </w:r>
    </w:p>
    <w:bookmarkEnd w:id="12"/>
    <w:p w:rsidRPr="000C16A9" w:rsidR="00777D08" w:rsidRDefault="00211F76" w14:paraId="659602D5" w14:textId="77777777">
      <w:pPr>
        <w:pStyle w:val="Heading2"/>
        <w:pageBreakBefore/>
        <w:widowControl w:val="0"/>
        <w:rPr>
          <w:rFonts w:ascii="Calibri" w:hAnsi="Calibri"/>
          <w:i w:val="0"/>
        </w:rPr>
      </w:pPr>
      <w:r w:rsidRPr="000C16A9">
        <w:rPr>
          <w:rFonts w:ascii="Calibri" w:hAnsi="Calibri"/>
          <w:i w:val="0"/>
        </w:rPr>
        <w:lastRenderedPageBreak/>
        <w:t>AP-85 Other Actions – 91.220(k)</w:t>
      </w:r>
    </w:p>
    <w:p w:rsidRPr="000C16A9" w:rsidR="00777D08" w:rsidRDefault="00211F76" w14:paraId="46F79DCA" w14:textId="77777777">
      <w:pPr>
        <w:keepNext/>
        <w:widowControl w:val="0"/>
        <w:spacing w:line="204" w:lineRule="auto"/>
        <w:rPr>
          <w:b/>
          <w:sz w:val="24"/>
          <w:szCs w:val="24"/>
        </w:rPr>
      </w:pPr>
      <w:r w:rsidRPr="000C16A9">
        <w:rPr>
          <w:b/>
          <w:sz w:val="24"/>
          <w:szCs w:val="24"/>
        </w:rPr>
        <w:t xml:space="preserve">Introduction: </w:t>
      </w:r>
    </w:p>
    <w:p w:rsidRPr="000C16A9" w:rsidR="00777D08" w:rsidP="00236A28" w:rsidRDefault="00236A28" w14:paraId="246D2441" w14:textId="7A0D8DA6">
      <w:pPr>
        <w:spacing w:before="100" w:beforeAutospacing="1" w:after="100" w:afterAutospacing="1"/>
        <w:rPr>
          <w:b/>
          <w:sz w:val="24"/>
          <w:szCs w:val="24"/>
        </w:rPr>
      </w:pPr>
      <w:r w:rsidRPr="000C16A9">
        <w:rPr>
          <w:rFonts w:cs="Arial"/>
        </w:rPr>
        <w:t xml:space="preserve">Burlington aims to spend over 95% of CDBG expenditures assisting low-and </w:t>
      </w:r>
      <w:r w:rsidRPr="000C16A9" w:rsidR="00211F76">
        <w:rPr>
          <w:rFonts w:cs="Arial"/>
        </w:rPr>
        <w:t xml:space="preserve">moderate-income residents. The City will continue its commitment to the preservation of affordable housing units and actions that will foster and maintain affordable housing in Burlington. In addition, the City, through the Community </w:t>
      </w:r>
      <w:r w:rsidRPr="000C16A9" w:rsidR="00A011EA">
        <w:rPr>
          <w:rFonts w:cs="Arial"/>
        </w:rPr>
        <w:t>&amp;</w:t>
      </w:r>
      <w:r w:rsidRPr="000C16A9" w:rsidR="00211F76">
        <w:rPr>
          <w:rFonts w:cs="Arial"/>
        </w:rPr>
        <w:t xml:space="preserve"> Economic Development Office, will diligently work to reduce lead-based paint hazards in the homes of local residents.</w:t>
      </w:r>
    </w:p>
    <w:p w:rsidRPr="000C16A9" w:rsidR="00777D08" w:rsidRDefault="00211F76" w14:paraId="0A148B3D" w14:textId="77777777">
      <w:pPr>
        <w:keepNext/>
        <w:widowControl w:val="0"/>
        <w:spacing w:beforeAutospacing="1" w:afterAutospacing="1"/>
        <w:rPr>
          <w:b/>
          <w:sz w:val="24"/>
          <w:szCs w:val="24"/>
        </w:rPr>
      </w:pPr>
      <w:r w:rsidRPr="000C16A9">
        <w:rPr>
          <w:rFonts w:cs="Arial"/>
        </w:rPr>
        <w:t>The activities listed in this Action Plan work to reduce the number of households in poverty; and with enhanced coordination with nonprofit partners, services will have a greater impact on this goal.</w:t>
      </w:r>
    </w:p>
    <w:p w:rsidRPr="000C16A9" w:rsidR="00777D08" w:rsidRDefault="00211F76" w14:paraId="512E4A6C" w14:textId="77777777">
      <w:pPr>
        <w:keepNext/>
        <w:widowControl w:val="0"/>
        <w:rPr>
          <w:b/>
          <w:sz w:val="24"/>
          <w:szCs w:val="24"/>
        </w:rPr>
      </w:pPr>
      <w:r w:rsidRPr="000C16A9">
        <w:rPr>
          <w:b/>
          <w:sz w:val="24"/>
          <w:szCs w:val="24"/>
        </w:rPr>
        <w:t>Actions planned to address obstacles to meeting underserved needs</w:t>
      </w:r>
    </w:p>
    <w:p w:rsidR="00D94186" w:rsidP="00D94186" w:rsidRDefault="00211F76" w14:paraId="71D60AA3" w14:textId="66DEFF7D">
      <w:pPr>
        <w:keepNext/>
        <w:widowControl w:val="0"/>
        <w:spacing w:beforeAutospacing="1" w:afterAutospacing="1"/>
        <w:rPr>
          <w:rFonts w:cs="Arial"/>
        </w:rPr>
      </w:pPr>
      <w:r w:rsidRPr="000C16A9">
        <w:rPr>
          <w:rFonts w:cs="Arial"/>
        </w:rPr>
        <w:t>As identified in the Consolidated Plan, the principal obstacle to meeting underserved needs is insufficient resources.</w:t>
      </w:r>
      <w:r w:rsidR="00D94186">
        <w:rPr>
          <w:rFonts w:cs="Arial"/>
        </w:rPr>
        <w:t xml:space="preserve"> Given the significant disruptions to economic and social activity over the past year due to the pandemic, available resources must still be used strategically as the need exceeds the available funding. </w:t>
      </w:r>
      <w:r w:rsidR="005D4088">
        <w:rPr>
          <w:rFonts w:cs="Arial"/>
        </w:rPr>
        <w:t>Fortunately,</w:t>
      </w:r>
      <w:r w:rsidR="00D94186">
        <w:rPr>
          <w:rFonts w:cs="Arial"/>
        </w:rPr>
        <w:t xml:space="preserve"> </w:t>
      </w:r>
      <w:r w:rsidRPr="0041472A" w:rsidR="00D94186">
        <w:rPr>
          <w:rFonts w:cs="Arial"/>
        </w:rPr>
        <w:t>the federal COVID response packages, Coronavirus Aid, Relief and Economic Security (CARES) Act and the American Recovery Plan Act (ARPA) provided significant and needed assistance to Burlington</w:t>
      </w:r>
      <w:r w:rsidR="00D94186">
        <w:rPr>
          <w:rFonts w:cs="Arial"/>
        </w:rPr>
        <w:t xml:space="preserve"> to help respond to the pandemic and begin recovery efforts, t</w:t>
      </w:r>
      <w:r w:rsidRPr="0041472A" w:rsidR="00D94186">
        <w:rPr>
          <w:rFonts w:cs="Arial"/>
        </w:rPr>
        <w:t xml:space="preserve">hese aid packages </w:t>
      </w:r>
      <w:r w:rsidR="00D94186">
        <w:rPr>
          <w:rFonts w:cs="Arial"/>
        </w:rPr>
        <w:t>form part of a patch work of private and public resources, including funds such as CDBG and HOME, to meet the most critical unmet needs.</w:t>
      </w:r>
    </w:p>
    <w:p w:rsidRPr="000C16A9" w:rsidR="00777D08" w:rsidRDefault="00D94186" w14:paraId="77E9F1F7" w14:textId="08E88787">
      <w:pPr>
        <w:keepNext/>
        <w:widowControl w:val="0"/>
        <w:spacing w:beforeAutospacing="1" w:afterAutospacing="1"/>
        <w:rPr>
          <w:rFonts w:cs="Arial"/>
        </w:rPr>
      </w:pPr>
      <w:r>
        <w:rPr>
          <w:rFonts w:cs="Arial"/>
        </w:rPr>
        <w:t>In addition to recovering from the economic losses sustained over the pandemic, the</w:t>
      </w:r>
      <w:r w:rsidRPr="000C16A9" w:rsidR="00211F76">
        <w:rPr>
          <w:rFonts w:cs="Arial"/>
        </w:rPr>
        <w:t xml:space="preserve"> Cit</w:t>
      </w:r>
      <w:r>
        <w:rPr>
          <w:rFonts w:cs="Arial"/>
        </w:rPr>
        <w:t>y needs to also look forward to the future to foster continued growth to foster economic opportunities. The City</w:t>
      </w:r>
      <w:r w:rsidRPr="000C16A9" w:rsidR="00211F76">
        <w:rPr>
          <w:rFonts w:cs="Arial"/>
        </w:rPr>
        <w:t xml:space="preserve"> will continue to grow the grand list, pursue additional federal, state and private resources, but does not expect to overcome the obstacle of shrinking public resources. The City will also continue to work with partners to examine obstacles such as benefits cliffs and to advocate for appropriate policy changes. In addition, the City will encourage local agencies to explore ways to deliver services in a more cost-effective and efficient manner, prioritize resources to serve the most in need, as well as cooperate between agencies.</w:t>
      </w:r>
    </w:p>
    <w:p w:rsidRPr="000C16A9" w:rsidR="00777D08" w:rsidP="001C6BA2" w:rsidRDefault="00211F76" w14:paraId="128633E3" w14:textId="760C854F">
      <w:pPr>
        <w:keepNext/>
        <w:widowControl w:val="0"/>
        <w:spacing w:beforeAutospacing="1" w:afterAutospacing="1"/>
        <w:rPr>
          <w:rFonts w:cs="Arial"/>
        </w:rPr>
      </w:pPr>
      <w:r w:rsidRPr="000C16A9">
        <w:rPr>
          <w:rFonts w:cs="Arial"/>
        </w:rPr>
        <w:t xml:space="preserve">For more than a decade, the network of community-based services that support the social, educational, physical, mental and financial well-being of families and individuals in Vermont has been under financial pressure. </w:t>
      </w:r>
      <w:r w:rsidR="00D94186">
        <w:rPr>
          <w:rFonts w:cs="Arial"/>
        </w:rPr>
        <w:t>Again, while the funding available over the past year expanded significantly</w:t>
      </w:r>
      <w:r w:rsidR="005D4088">
        <w:rPr>
          <w:rFonts w:cs="Arial"/>
        </w:rPr>
        <w:t xml:space="preserve"> with CARES and ARPA funds</w:t>
      </w:r>
      <w:r w:rsidR="00D94186">
        <w:rPr>
          <w:rFonts w:cs="Arial"/>
        </w:rPr>
        <w:t>, the unmet needs to be addressed were greater than seen previously. T</w:t>
      </w:r>
      <w:r w:rsidRPr="000C16A9">
        <w:rPr>
          <w:rFonts w:cs="Arial"/>
        </w:rPr>
        <w:t>he number of families and individuals needing services increased</w:t>
      </w:r>
      <w:r w:rsidR="00D94186">
        <w:rPr>
          <w:rFonts w:cs="Arial"/>
        </w:rPr>
        <w:t xml:space="preserve"> significantly over the past year</w:t>
      </w:r>
      <w:r w:rsidRPr="000C16A9">
        <w:rPr>
          <w:rFonts w:cs="Arial"/>
        </w:rPr>
        <w:t xml:space="preserve">, and in many cases, their needs have become more acute and complex. In response to these conditions, service providers increased their efforts to find economies of scale, evaluated the effectiveness and appropriateness of the services they provide, experimented with </w:t>
      </w:r>
      <w:r w:rsidR="005D4088">
        <w:rPr>
          <w:rFonts w:cs="Arial"/>
        </w:rPr>
        <w:t xml:space="preserve">innovation, and adjusted </w:t>
      </w:r>
      <w:r w:rsidRPr="000C16A9">
        <w:rPr>
          <w:rFonts w:cs="Arial"/>
        </w:rPr>
        <w:t>the frequency and intensity of services.</w:t>
      </w:r>
      <w:r w:rsidR="005D4088">
        <w:rPr>
          <w:rFonts w:cs="Arial"/>
        </w:rPr>
        <w:t xml:space="preserve"> A key challenge moving forward will be fostering a just and equitable recovery that rebuilds </w:t>
      </w:r>
      <w:r w:rsidR="005D4088">
        <w:rPr>
          <w:rFonts w:cs="Arial"/>
        </w:rPr>
        <w:lastRenderedPageBreak/>
        <w:t xml:space="preserve">economic opportunity for all, while ensuring that gaps in social services continue to be met, especially as surplus funding for expanded services diminishes into late 2021 and 2022. The City’s efforts over the next year will be monitoring the recovery </w:t>
      </w:r>
      <w:r w:rsidR="001C6BA2">
        <w:rPr>
          <w:rFonts w:cs="Arial"/>
        </w:rPr>
        <w:t xml:space="preserve">across sectors and populations to ensure the recovery is comprehensive and equitable. Should existing needs and gaps intensify or new needs emerge, the City proposes to work with partners to meet the dynamic and evolving needs through the recovery process. </w:t>
      </w:r>
    </w:p>
    <w:p w:rsidRPr="00D43195" w:rsidR="00AE220B" w:rsidP="00AE220B" w:rsidRDefault="00AE220B" w14:paraId="631316AD" w14:textId="77777777">
      <w:pPr>
        <w:keepNext/>
        <w:widowControl w:val="0"/>
        <w:rPr>
          <w:b/>
          <w:sz w:val="24"/>
          <w:szCs w:val="24"/>
        </w:rPr>
      </w:pPr>
      <w:bookmarkStart w:name="_Hlk68005112" w:id="13"/>
      <w:bookmarkStart w:name="_Hlk68013624" w:id="14"/>
      <w:r w:rsidRPr="00D43195">
        <w:rPr>
          <w:b/>
          <w:sz w:val="24"/>
          <w:szCs w:val="24"/>
        </w:rPr>
        <w:t>Actions planned to foster and maintain affordable housing</w:t>
      </w:r>
    </w:p>
    <w:p w:rsidRPr="00D43195" w:rsidR="00AE220B" w:rsidP="00AE220B" w:rsidRDefault="00AE220B" w14:paraId="6E59E85A" w14:textId="77777777">
      <w:pPr>
        <w:keepNext/>
        <w:widowControl w:val="0"/>
        <w:spacing w:beforeAutospacing="1" w:afterAutospacing="1"/>
        <w:rPr>
          <w:rFonts w:cs="Arial"/>
        </w:rPr>
      </w:pPr>
      <w:r w:rsidRPr="00D43195">
        <w:rPr>
          <w:rFonts w:cs="Arial"/>
        </w:rPr>
        <w:t>During the next program year, the City will continue to implement its revised Inclusionary Zoning and Housing Preservation and Replacement ordinances; to provide CDBG and HOME funding to nonprofit housing developers to develop, renovate, and preserve affordable housing; to pilot a program to create new housing while helping households age in place through the creation of accessory dwelling units in existing single family homes; and to support the facilitation of  the transfer of ownership of housing with expiring subsidies from the private sector to nonprofit ownership, thus assuring their perpetual use as affordable housing.  The City will explore Housing Action Plan strategies to expand accessibility and universal design along with other creative solutions to provide housing for our increasing aging population. In addition, the Plan suggests strategies to increase student housing thereby releasing units to low/moderate and market rate renters. The City will look for ways to increase homeownership opportunities per the Assessment of Fair Housing and partner with local agencies to explore a coordination of housing retention efforts. The City understands that the need for affordable housing is a regional issue not limited to Burlington. Further, Burlington recognizes that it cannot solve its affordable housing issues on its own. For that reason, in 2016 the City supported the Building Homes Together Coalition to increase the production of housing and setting a target of 3,500 new homes created over the next five years. In addition, the City has supported infill and redevelopment of underutilized city surface parking lot sites to add to the affordable housing stock.</w:t>
      </w:r>
    </w:p>
    <w:bookmarkEnd w:id="13"/>
    <w:p w:rsidRPr="00D252FF" w:rsidR="00777D08" w:rsidRDefault="00211F76" w14:paraId="3B1CFA5B" w14:textId="77777777">
      <w:pPr>
        <w:keepNext/>
        <w:widowControl w:val="0"/>
        <w:rPr>
          <w:b/>
          <w:sz w:val="24"/>
          <w:szCs w:val="24"/>
        </w:rPr>
      </w:pPr>
      <w:r w:rsidRPr="00D252FF">
        <w:rPr>
          <w:b/>
          <w:sz w:val="24"/>
          <w:szCs w:val="24"/>
        </w:rPr>
        <w:t>Actions planned to reduce lead-based paint hazards</w:t>
      </w:r>
    </w:p>
    <w:p w:rsidR="00D252FF" w:rsidP="00D252FF" w:rsidRDefault="00D252FF" w14:paraId="7DE3A388" w14:textId="77777777">
      <w:pPr>
        <w:keepNext/>
        <w:widowControl w:val="0"/>
        <w:rPr>
          <w:rFonts w:cs="Arial"/>
        </w:rPr>
      </w:pPr>
      <w:bookmarkStart w:name="_Hlk68013858" w:id="15"/>
      <w:bookmarkEnd w:id="14"/>
      <w:r>
        <w:rPr>
          <w:rFonts w:cs="Arial"/>
        </w:rPr>
        <w:t>In January 2021, the City of Burlington received a $3,093,922.00 Lead-Based Paint Hazard Control grant from the Department of Housing and Urban Development and a $530,000.00 Healthy Homes grant to complete work on 110 housing units by July, 2024.  These funds are administered through the Community and Economic Development Office by the Burlington Lead Program to reduce lead-based paint hazards and healthy homes hazards in eligible units to eliminate childhood lead poisoning and make homes healthier to live in.  From July 1, 2021 – June 30, 2022, the Burlington Lead Program plans to evaluate 44 units for lead-based paint and other health hazards, reduce lead-based paint hazards in at least 23 housing units and reduce other health hazards in 20 housing units, conduct 12 community outreach and education events, and provide lead-safety training to at least 120 individuals.</w:t>
      </w:r>
    </w:p>
    <w:p w:rsidRPr="00FA5D35" w:rsidR="003E228F" w:rsidP="003E228F" w:rsidRDefault="003E228F" w14:paraId="2318C8E6" w14:textId="77777777">
      <w:pPr>
        <w:keepNext/>
        <w:widowControl w:val="0"/>
        <w:rPr>
          <w:b/>
          <w:sz w:val="24"/>
          <w:szCs w:val="24"/>
        </w:rPr>
      </w:pPr>
      <w:bookmarkStart w:name="_Hlk68013925" w:id="16"/>
      <w:bookmarkEnd w:id="15"/>
      <w:r w:rsidRPr="00FA5D35">
        <w:rPr>
          <w:b/>
          <w:sz w:val="24"/>
          <w:szCs w:val="24"/>
        </w:rPr>
        <w:t>Actions planned to reduce the number of poverty-level families</w:t>
      </w:r>
    </w:p>
    <w:p w:rsidRPr="00FA5D35" w:rsidR="003E228F" w:rsidP="003E228F" w:rsidRDefault="003E228F" w14:paraId="08DFD32F" w14:textId="77777777">
      <w:pPr>
        <w:keepNext/>
        <w:widowControl w:val="0"/>
        <w:spacing w:beforeAutospacing="1" w:afterAutospacing="1"/>
        <w:rPr>
          <w:rFonts w:cs="Arial"/>
          <w:szCs w:val="26"/>
        </w:rPr>
      </w:pPr>
      <w:r w:rsidRPr="00FA5D35">
        <w:rPr>
          <w:rFonts w:cs="Arial"/>
        </w:rPr>
        <w:t xml:space="preserve">All of the activities funded through the City’s CDBG and HOME programs are ultimately directed at reducing the number of people living in poverty, providing for basic needs, or preventing </w:t>
      </w:r>
      <w:r w:rsidRPr="00FA5D35">
        <w:rPr>
          <w:rFonts w:cs="Arial"/>
        </w:rPr>
        <w:lastRenderedPageBreak/>
        <w:t>individual/family poverty in Burlington.</w:t>
      </w:r>
    </w:p>
    <w:p w:rsidR="003E228F" w:rsidP="003E228F" w:rsidRDefault="003E228F" w14:paraId="0DB56B53" w14:textId="505DE559">
      <w:pPr>
        <w:keepNext/>
        <w:widowControl w:val="0"/>
        <w:spacing w:beforeAutospacing="1" w:afterAutospacing="1"/>
        <w:rPr>
          <w:rFonts w:cs="Arial"/>
        </w:rPr>
      </w:pPr>
      <w:r w:rsidRPr="00EE3232">
        <w:rPr>
          <w:rFonts w:cs="Arial"/>
          <w:highlight w:val="yellow"/>
        </w:rPr>
        <w:br/>
      </w:r>
      <w:r w:rsidRPr="00FF023F">
        <w:rPr>
          <w:rFonts w:cs="Arial"/>
        </w:rPr>
        <w:t xml:space="preserve">To move individuals/families out of poverty, CDBG funds will invest in </w:t>
      </w:r>
      <w:r>
        <w:rPr>
          <w:rFonts w:cs="Arial"/>
        </w:rPr>
        <w:t>elementary enrichment programs</w:t>
      </w:r>
      <w:r w:rsidRPr="00FF023F">
        <w:rPr>
          <w:rFonts w:cs="Arial"/>
        </w:rPr>
        <w:t xml:space="preserve"> at </w:t>
      </w:r>
      <w:r>
        <w:rPr>
          <w:rFonts w:cs="Arial"/>
        </w:rPr>
        <w:t>Sara Holbrook Community Center</w:t>
      </w:r>
      <w:r w:rsidRPr="00FF023F">
        <w:rPr>
          <w:rFonts w:cs="Arial"/>
        </w:rPr>
        <w:t>. These programs will provide a quality foundation to ensure educational success for children as well as giving parents the opportunity for employment. Additionally, CDBG funds will support the Volunteer Income Tax Assistance program as well as t</w:t>
      </w:r>
      <w:r>
        <w:rPr>
          <w:rFonts w:cs="Arial"/>
        </w:rPr>
        <w:t>hree</w:t>
      </w:r>
      <w:r w:rsidRPr="00FF023F">
        <w:rPr>
          <w:rFonts w:cs="Arial"/>
        </w:rPr>
        <w:t xml:space="preserve"> job training programs.</w:t>
      </w:r>
    </w:p>
    <w:p w:rsidRPr="0061420D" w:rsidR="003E228F" w:rsidP="003E228F" w:rsidRDefault="003E228F" w14:paraId="03E2F9F1" w14:textId="77777777">
      <w:pPr>
        <w:keepNext/>
        <w:widowControl w:val="0"/>
        <w:spacing w:beforeAutospacing="1" w:afterAutospacing="1"/>
        <w:rPr>
          <w:rFonts w:cs="Arial"/>
        </w:rPr>
      </w:pPr>
      <w:r>
        <w:rPr>
          <w:rFonts w:cs="Arial"/>
        </w:rPr>
        <w:t>CDBG funds will invest in housing support programs at the US Committee for Refugees and Immigrants (Vermont), Pathways Vermont, and Anew Place. These programs will provide essentials supports to refugee families and individuals experiencing homelessness to enable them to move towards permanent and stable housing, as an early step to moving out of poverty.</w:t>
      </w:r>
    </w:p>
    <w:p w:rsidRPr="00FF023F" w:rsidR="003E228F" w:rsidP="003E228F" w:rsidRDefault="003E228F" w14:paraId="359B3B2A" w14:textId="77777777">
      <w:pPr>
        <w:keepNext/>
        <w:widowControl w:val="0"/>
        <w:spacing w:beforeAutospacing="1" w:afterAutospacing="1"/>
        <w:rPr>
          <w:rFonts w:cs="Arial"/>
          <w:szCs w:val="26"/>
        </w:rPr>
      </w:pPr>
      <w:r w:rsidRPr="00FF023F">
        <w:rPr>
          <w:rFonts w:cs="Arial"/>
        </w:rPr>
        <w:br/>
      </w:r>
      <w:r w:rsidRPr="00FF023F">
        <w:rPr>
          <w:rFonts w:cs="Arial"/>
        </w:rPr>
        <w:t>To prevent poverty, the City will continue to invest in the preservation and construction of affordable housing as well as CEDO's Housing Improvement Project and the Burlington Lead Program. In addition, the City will continue to enforce its Inclusionary Zoning and Livable Wage ordinances.</w:t>
      </w:r>
    </w:p>
    <w:p w:rsidR="003E228F" w:rsidP="003E228F" w:rsidRDefault="003E228F" w14:paraId="1F397EF8" w14:textId="77777777">
      <w:r>
        <w:rPr>
          <w:rFonts w:cs="Arial"/>
        </w:rPr>
        <w:t>The City will expand its Trusted Community Voices Program, whose trusted members</w:t>
      </w:r>
      <w:r w:rsidRPr="0061420D">
        <w:rPr>
          <w:rFonts w:cs="Arial"/>
        </w:rPr>
        <w:t xml:space="preserve"> serve as an effective link between </w:t>
      </w:r>
      <w:r>
        <w:rPr>
          <w:rFonts w:cs="Arial"/>
        </w:rPr>
        <w:t>the City</w:t>
      </w:r>
      <w:r w:rsidRPr="0061420D">
        <w:rPr>
          <w:rFonts w:cs="Arial"/>
        </w:rPr>
        <w:t xml:space="preserve"> and their communities to foster more effective, engaging and supportive relationships and to better connect them to information on city services and programs. </w:t>
      </w:r>
      <w:r>
        <w:rPr>
          <w:rFonts w:cs="Arial"/>
        </w:rPr>
        <w:t xml:space="preserve">  The program </w:t>
      </w:r>
      <w:r w:rsidRPr="0061420D">
        <w:rPr>
          <w:rFonts w:cs="Arial"/>
        </w:rPr>
        <w:t>create</w:t>
      </w:r>
      <w:r>
        <w:rPr>
          <w:rFonts w:cs="Arial"/>
        </w:rPr>
        <w:t>s</w:t>
      </w:r>
      <w:r w:rsidRPr="0061420D">
        <w:rPr>
          <w:rFonts w:cs="Arial"/>
        </w:rPr>
        <w:t xml:space="preserve"> new opportunities for Burlington residents, with a focus on im</w:t>
      </w:r>
      <w:r>
        <w:rPr>
          <w:rFonts w:cs="Arial"/>
        </w:rPr>
        <w:t>migrant and refugee communities</w:t>
      </w:r>
      <w:r w:rsidRPr="0061420D">
        <w:rPr>
          <w:rFonts w:cs="Arial"/>
        </w:rPr>
        <w:t xml:space="preserve">. Additionally, Trusted Community Voices will allow the city to receive systematic feedback on these communities’ major concerns.  </w:t>
      </w:r>
      <w:r w:rsidRPr="003148BE">
        <w:t>In addition, the City will continue to support the Community Justice Center and its anti-poverty programs in the areas of community and restorative justice.</w:t>
      </w:r>
    </w:p>
    <w:p w:rsidRPr="003B1D42" w:rsidR="003E228F" w:rsidP="003E228F" w:rsidRDefault="003E228F" w14:paraId="7BC8B938" w14:textId="77777777"/>
    <w:p w:rsidRPr="00070B19" w:rsidR="003E228F" w:rsidP="003E228F" w:rsidRDefault="003E228F" w14:paraId="5E76A456" w14:textId="5C290EE8">
      <w:pPr>
        <w:jc w:val="both"/>
        <w:rPr>
          <w:rFonts w:cstheme="minorHAnsi"/>
        </w:rPr>
      </w:pPr>
      <w:r w:rsidRPr="00070B19">
        <w:rPr>
          <w:rFonts w:cstheme="minorHAnsi"/>
        </w:rPr>
        <w:t>The City continues to provide support to a variety of development projects that contribute to economic growth and help to grow the grand list and increase revenues. Development projects include, Cambrian Rise, a proposed 950 mixed-income residential unit development which will include 238 units of inclusionary housing, when fully built-out over several years; Further, with CDBG funds, the City continues to provide technical assistance and small grants to current and potential entrepreneurs, including to women, minorities, and low-to moderate-income individuals aimed at creating jobs and fostering growth and development in the City.  These efforts are being accelerated</w:t>
      </w:r>
      <w:r>
        <w:rPr>
          <w:rFonts w:cstheme="minorHAnsi"/>
        </w:rPr>
        <w:t xml:space="preserve"> and expanded</w:t>
      </w:r>
      <w:r w:rsidRPr="00070B19">
        <w:rPr>
          <w:rFonts w:cstheme="minorHAnsi"/>
        </w:rPr>
        <w:t>, in light of the significant negative impact of the current coronavirus pandemic and adoption of related safety measures, on Burlington’s economy.</w:t>
      </w:r>
    </w:p>
    <w:p w:rsidRPr="00703CBC" w:rsidR="003E228F" w:rsidP="003E228F" w:rsidRDefault="003E228F" w14:paraId="088B4EFD" w14:textId="77777777">
      <w:pPr>
        <w:keepNext/>
        <w:widowControl w:val="0"/>
        <w:spacing w:beforeAutospacing="1" w:afterAutospacing="1"/>
        <w:rPr>
          <w:b/>
          <w:sz w:val="24"/>
          <w:szCs w:val="24"/>
        </w:rPr>
      </w:pPr>
      <w:r w:rsidRPr="00703CBC">
        <w:rPr>
          <w:b/>
          <w:sz w:val="24"/>
          <w:szCs w:val="24"/>
        </w:rPr>
        <w:t xml:space="preserve">Actions planned to develop institutional structure </w:t>
      </w:r>
    </w:p>
    <w:p w:rsidRPr="00703CBC" w:rsidR="003E228F" w:rsidP="003E228F" w:rsidRDefault="003E228F" w14:paraId="6361E7EC" w14:textId="77777777">
      <w:pPr>
        <w:keepNext/>
        <w:widowControl w:val="0"/>
        <w:spacing w:beforeAutospacing="1" w:afterAutospacing="1"/>
        <w:rPr>
          <w:rFonts w:cs="Arial"/>
        </w:rPr>
      </w:pPr>
      <w:r w:rsidRPr="00703CBC">
        <w:rPr>
          <w:rFonts w:cs="Arial"/>
        </w:rPr>
        <w:t xml:space="preserve">A definite challenge for the Community &amp; Economic Development Office will be to effectively adapt its </w:t>
      </w:r>
      <w:r w:rsidRPr="00703CBC">
        <w:rPr>
          <w:rFonts w:cs="Arial"/>
        </w:rPr>
        <w:lastRenderedPageBreak/>
        <w:t>institutional structure to meet the changing needs of a challenging fiscal environment</w:t>
      </w:r>
      <w:r>
        <w:rPr>
          <w:rFonts w:cs="Arial"/>
        </w:rPr>
        <w:t xml:space="preserve"> and in pandemic response. </w:t>
      </w:r>
      <w:r w:rsidRPr="00703CBC">
        <w:rPr>
          <w:rFonts w:cs="Arial"/>
        </w:rPr>
        <w:t xml:space="preserve"> In a time of significant budget </w:t>
      </w:r>
      <w:r>
        <w:rPr>
          <w:rFonts w:cs="Arial"/>
        </w:rPr>
        <w:t>changes and program and funding expansion, to respond to the economic difficulties brought about by the pandemic</w:t>
      </w:r>
      <w:r w:rsidRPr="00703CBC">
        <w:rPr>
          <w:rFonts w:cs="Arial"/>
        </w:rPr>
        <w:t xml:space="preserve">, CEDO will need to find ways to implement, oversee, and monitor programming efficiently and effectively to meet increasing demands for services and funding with </w:t>
      </w:r>
      <w:r>
        <w:rPr>
          <w:rFonts w:cs="Arial"/>
        </w:rPr>
        <w:t>changing</w:t>
      </w:r>
      <w:r w:rsidRPr="00703CBC">
        <w:rPr>
          <w:rFonts w:cs="Arial"/>
        </w:rPr>
        <w:t xml:space="preserve"> resources.</w:t>
      </w:r>
      <w:r>
        <w:rPr>
          <w:rFonts w:cs="Arial"/>
        </w:rPr>
        <w:t xml:space="preserve">  </w:t>
      </w:r>
    </w:p>
    <w:p w:rsidRPr="00703CBC" w:rsidR="003E228F" w:rsidP="003E228F" w:rsidRDefault="003E228F" w14:paraId="3E0B226D" w14:textId="0197C930">
      <w:pPr>
        <w:keepNext/>
        <w:widowControl w:val="0"/>
        <w:spacing w:beforeAutospacing="1" w:afterAutospacing="1"/>
        <w:rPr>
          <w:rFonts w:cs="Arial"/>
        </w:rPr>
      </w:pPr>
      <w:r w:rsidRPr="00703CBC">
        <w:rPr>
          <w:rFonts w:cs="Arial"/>
        </w:rPr>
        <w:t>The Collective Impact, a multi-stakeholder group initially organized by the United Way, continues to build institutional structure around results-based accountability and collaborative problem solving including a funding collaborative partnership.</w:t>
      </w:r>
    </w:p>
    <w:p w:rsidRPr="00703CBC" w:rsidR="003E228F" w:rsidP="003E228F" w:rsidRDefault="003E228F" w14:paraId="4C347355" w14:textId="77777777">
      <w:pPr>
        <w:keepNext/>
        <w:widowControl w:val="0"/>
        <w:spacing w:beforeAutospacing="1" w:afterAutospacing="1"/>
        <w:rPr>
          <w:rFonts w:cs="Arial"/>
        </w:rPr>
      </w:pPr>
      <w:r w:rsidRPr="00703CBC">
        <w:rPr>
          <w:rFonts w:cs="Arial"/>
        </w:rPr>
        <w:t>The Chittenden County Homeless Alliance, through its governance reorganization and common agenda plans to use administrative backbone support to increase institutional capacity within their collaborative structure.</w:t>
      </w:r>
      <w:r>
        <w:rPr>
          <w:rFonts w:cs="Arial"/>
        </w:rPr>
        <w:t xml:space="preserve"> The CCHA will continue to perform a vital expanded role in coordination and pandemic response, to provide needed supports to the more than doubled population of individuals and families experiencing homelessness.</w:t>
      </w:r>
    </w:p>
    <w:p w:rsidRPr="003148BE" w:rsidR="003E228F" w:rsidP="003E228F" w:rsidRDefault="003E228F" w14:paraId="13396583" w14:textId="77777777">
      <w:pPr>
        <w:keepNext/>
        <w:spacing w:before="100" w:beforeAutospacing="1" w:after="100" w:afterAutospacing="1"/>
      </w:pPr>
      <w:r w:rsidRPr="003148BE">
        <w:t xml:space="preserve">The City launched its My Brother’s Keeper (MBK) Initiative in May of 2016.  MBK nationally seeks to address opportunity gaps facing youth, particularly boys and young men of color. CEDO </w:t>
      </w:r>
      <w:r>
        <w:t>continues to support this program</w:t>
      </w:r>
      <w:r w:rsidRPr="003148BE">
        <w:t xml:space="preserve"> to provide pathways to college, career, and employment programming for targeted youth. CEDO’s programs work with partners to offer information and opportunities for jobs and internships, supports for college access, and to raise awareness of STEM career and study opportunities.</w:t>
      </w:r>
    </w:p>
    <w:p w:rsidR="003E228F" w:rsidP="003E228F" w:rsidRDefault="003E228F" w14:paraId="1BF82011" w14:textId="77777777">
      <w:pPr>
        <w:keepNext/>
        <w:spacing w:before="100" w:beforeAutospacing="1" w:after="100" w:afterAutospacing="1"/>
      </w:pPr>
      <w:r w:rsidRPr="003148BE">
        <w:t xml:space="preserve">CEDO is building on partnerships to develop MBK programming and opportunities for youth to include </w:t>
      </w:r>
      <w:r w:rsidRPr="00070B19">
        <w:t>support from the Professionals of Color network</w:t>
      </w:r>
      <w:r>
        <w:t xml:space="preserve">. </w:t>
      </w:r>
      <w:r w:rsidRPr="003148BE">
        <w:t xml:space="preserve">CEDO </w:t>
      </w:r>
      <w:r>
        <w:t>continues to work</w:t>
      </w:r>
      <w:r w:rsidRPr="00070B19">
        <w:t xml:space="preserve"> with the City HR department to further strengthen and develop our </w:t>
      </w:r>
      <w:r w:rsidRPr="003148BE">
        <w:t>City internship program offer</w:t>
      </w:r>
      <w:r w:rsidRPr="00070B19">
        <w:t>ing</w:t>
      </w:r>
      <w:r w:rsidRPr="003148BE">
        <w:t xml:space="preserve"> entry level MBK Internships,</w:t>
      </w:r>
      <w:r w:rsidRPr="00070B19">
        <w:t xml:space="preserve"> and targeted internships, supporting access for underserved youth.</w:t>
      </w:r>
    </w:p>
    <w:p w:rsidR="003E228F" w:rsidP="003E228F" w:rsidRDefault="003E228F" w14:paraId="18F2FEF9" w14:textId="77777777">
      <w:pPr>
        <w:keepNext/>
        <w:spacing w:before="100" w:beforeAutospacing="1" w:after="100" w:afterAutospacing="1"/>
      </w:pPr>
      <w:r>
        <w:t xml:space="preserve">The City will continue to operate the </w:t>
      </w:r>
      <w:r w:rsidRPr="00895751">
        <w:t>Burlington COVID-19 Resource and Recovery Center (RRC) to offer quick frontline assistance and support on a wide range of issues to all Burlingto</w:t>
      </w:r>
      <w:r>
        <w:t>n residents</w:t>
      </w:r>
      <w:r w:rsidRPr="00895751">
        <w:t xml:space="preserve"> in need of help during the COVID-19 pandemic. The RRC has focused on ensuring Burlington</w:t>
      </w:r>
      <w:r>
        <w:t xml:space="preserve"> residents</w:t>
      </w:r>
      <w:r w:rsidRPr="00895751">
        <w:t xml:space="preserve"> access to critical resources like health guidance, food, and shelter. Additionally, the RRC has been helping Burlington</w:t>
      </w:r>
      <w:r>
        <w:t xml:space="preserve"> residents </w:t>
      </w:r>
      <w:r w:rsidRPr="00895751">
        <w:t>with recovery efforts like connecting people experiencing homelessness with temporary shelter that meets social distancing safety measures, assisting laid-off workers with unemployment insurance applications, working with local small businesses to help them navigate insurance claims for federal and state resources, coordinating the dissemination of health and other resource guidance in multiple languages to reach as many members of our community as possible, and many others.</w:t>
      </w:r>
    </w:p>
    <w:p w:rsidRPr="00703CBC" w:rsidR="003E228F" w:rsidP="003E228F" w:rsidRDefault="003E228F" w14:paraId="3D2C6548" w14:textId="77777777">
      <w:pPr>
        <w:keepNext/>
        <w:widowControl w:val="0"/>
        <w:rPr>
          <w:b/>
          <w:sz w:val="24"/>
          <w:szCs w:val="24"/>
        </w:rPr>
      </w:pPr>
      <w:r w:rsidRPr="00703CBC">
        <w:rPr>
          <w:b/>
          <w:sz w:val="24"/>
          <w:szCs w:val="24"/>
        </w:rPr>
        <w:t>Actions planned to enhance coordination between public and private housing and social service agencies</w:t>
      </w:r>
    </w:p>
    <w:p w:rsidRPr="00EE3232" w:rsidR="003E228F" w:rsidP="003E228F" w:rsidRDefault="003E228F" w14:paraId="6B36584A" w14:textId="77777777">
      <w:pPr>
        <w:keepNext/>
        <w:widowControl w:val="0"/>
        <w:spacing w:beforeAutospacing="1" w:afterAutospacing="1"/>
        <w:rPr>
          <w:rFonts w:cs="Arial"/>
          <w:szCs w:val="26"/>
          <w:highlight w:val="yellow"/>
        </w:rPr>
      </w:pPr>
      <w:r w:rsidRPr="00703CBC">
        <w:rPr>
          <w:rFonts w:cs="Arial"/>
        </w:rPr>
        <w:t xml:space="preserve">In order to enhance coordination between public and private housing and social service agencies, </w:t>
      </w:r>
      <w:r w:rsidRPr="00703CBC">
        <w:rPr>
          <w:rFonts w:cs="Arial"/>
        </w:rPr>
        <w:lastRenderedPageBreak/>
        <w:t>several community-wide initiatives are utilizing collective impact principles. These initiatives are deciding on a common agenda to keep all the various organizations moving toward the same goal. Agencies agree on common progress measures and use a data-driven approach to review outcomes. Rather than working in silos or duplicating activities, the organizations leverage mutually reinforcing activities to move toward the progress envisioned. With clear and frequent communication and one specific organization taking on the role to manage the collaboration, these initiatives are enhancing coordination and cooperation. One specific example of this is the work of the Chittenden County Homeless Alliance (CCHA). The Community &amp; Economic Development Office coordinates with the Chittenden County Homeless Alliance and Continuum of Care to address homelessness (including for-profit and nonprofit housing entities and service providers). CCHA has a common agenda and performance measures. Coordinated entry for permanent housing meets and refers clients for housing and services. The current Housing Resource Team continues to work collaboratively through public, private housing and social service agencies. In another example, a group of agencies including United Way of Northwest Vermont and the City of Burlington via the Burlington Police Department, the Agency of Human Services, University of Vermont Medical Center, Vermont Department of Health, and others are part of a collective impact project regarding the burgeoning opioid addiction crisis impacting our area.</w:t>
      </w:r>
    </w:p>
    <w:p w:rsidRPr="00EE3232" w:rsidR="003E228F" w:rsidP="003E228F" w:rsidRDefault="003E228F" w14:paraId="1EE6069F" w14:textId="77777777">
      <w:pPr>
        <w:keepNext/>
        <w:widowControl w:val="0"/>
        <w:spacing w:line="204" w:lineRule="auto"/>
        <w:rPr>
          <w:b/>
          <w:sz w:val="24"/>
          <w:szCs w:val="24"/>
          <w:highlight w:val="yellow"/>
        </w:rPr>
      </w:pPr>
    </w:p>
    <w:p w:rsidR="003E228F" w:rsidP="003E228F" w:rsidRDefault="003E228F" w14:paraId="7998BF6D" w14:textId="77777777"/>
    <w:p w:rsidRPr="00ED22E1" w:rsidR="00777D08" w:rsidRDefault="00777D08" w14:paraId="3D3EC393" w14:textId="77777777">
      <w:pPr>
        <w:keepNext/>
        <w:widowControl w:val="0"/>
        <w:spacing w:line="204" w:lineRule="auto"/>
        <w:rPr>
          <w:b/>
          <w:sz w:val="24"/>
          <w:szCs w:val="24"/>
          <w:highlight w:val="lightGray"/>
        </w:rPr>
      </w:pPr>
    </w:p>
    <w:p w:rsidRPr="00AE220B" w:rsidR="00777D08" w:rsidRDefault="00211F76" w14:paraId="2BE1AD14" w14:textId="77777777">
      <w:pPr>
        <w:pStyle w:val="Heading1"/>
        <w:pageBreakBefore/>
        <w:jc w:val="center"/>
        <w:rPr>
          <w:rFonts w:ascii="Calibri" w:hAnsi="Calibri"/>
          <w:color w:val="auto"/>
          <w:sz w:val="32"/>
          <w:szCs w:val="32"/>
        </w:rPr>
      </w:pPr>
      <w:bookmarkStart w:name="_Hlk68015313" w:id="17"/>
      <w:bookmarkEnd w:id="16"/>
      <w:r w:rsidRPr="00AE220B">
        <w:rPr>
          <w:rFonts w:ascii="Calibri" w:hAnsi="Calibri"/>
          <w:color w:val="auto"/>
          <w:sz w:val="32"/>
          <w:szCs w:val="32"/>
        </w:rPr>
        <w:lastRenderedPageBreak/>
        <w:t>Program Specific Requirements</w:t>
      </w:r>
    </w:p>
    <w:p w:rsidRPr="00AE220B" w:rsidR="00777D08" w:rsidRDefault="00211F76" w14:paraId="0BB9A778" w14:textId="77777777">
      <w:pPr>
        <w:rPr>
          <w:b/>
          <w:sz w:val="28"/>
          <w:szCs w:val="28"/>
        </w:rPr>
      </w:pPr>
      <w:r w:rsidRPr="00AE220B">
        <w:rPr>
          <w:b/>
          <w:sz w:val="28"/>
          <w:szCs w:val="28"/>
        </w:rPr>
        <w:t>AP-90 Program Specific Requirements – 91.220(l)(1,2,4)</w:t>
      </w:r>
    </w:p>
    <w:p w:rsidRPr="00AE220B" w:rsidR="00777D08" w:rsidRDefault="00211F76" w14:paraId="6C5A59D8" w14:textId="77777777">
      <w:pPr>
        <w:keepNext/>
        <w:widowControl w:val="0"/>
        <w:spacing w:line="204" w:lineRule="auto"/>
        <w:rPr>
          <w:b/>
          <w:sz w:val="24"/>
          <w:szCs w:val="24"/>
        </w:rPr>
      </w:pPr>
      <w:r w:rsidRPr="00AE220B">
        <w:rPr>
          <w:b/>
          <w:sz w:val="24"/>
          <w:szCs w:val="24"/>
        </w:rPr>
        <w:t xml:space="preserve">Introduction: </w:t>
      </w:r>
    </w:p>
    <w:p w:rsidRPr="00AE220B" w:rsidR="00777D08" w:rsidRDefault="00211F76" w14:paraId="61359699" w14:textId="77777777">
      <w:pPr>
        <w:keepNext/>
        <w:widowControl w:val="0"/>
        <w:spacing w:beforeAutospacing="1" w:afterAutospacing="1"/>
        <w:rPr>
          <w:b/>
          <w:sz w:val="24"/>
          <w:szCs w:val="24"/>
        </w:rPr>
      </w:pPr>
      <w:r w:rsidRPr="00AE220B">
        <w:rPr>
          <w:rFonts w:cs="Arial"/>
        </w:rPr>
        <w:t>In this section, the City addresses the program-specific requirements for the Annual Action Plan. The two specific programs addressed in this section are CDBG and HOME.</w:t>
      </w:r>
    </w:p>
    <w:p w:rsidRPr="00AE220B" w:rsidR="00777D08" w:rsidRDefault="00211F76" w14:paraId="5FDF5168" w14:textId="77777777">
      <w:pPr>
        <w:keepNext/>
        <w:widowControl w:val="0"/>
        <w:spacing w:after="0" w:line="240" w:lineRule="auto"/>
        <w:jc w:val="center"/>
        <w:rPr>
          <w:rFonts w:cs="Arial"/>
          <w:b/>
          <w:sz w:val="24"/>
          <w:szCs w:val="24"/>
        </w:rPr>
      </w:pPr>
      <w:r w:rsidRPr="00AE220B">
        <w:rPr>
          <w:rFonts w:cs="Arial"/>
          <w:b/>
          <w:sz w:val="24"/>
          <w:szCs w:val="24"/>
        </w:rPr>
        <w:t>Community Development Block Grant Program (CDBG)</w:t>
      </w:r>
      <w:r w:rsidRPr="00AE220B">
        <w:rPr>
          <w:i/>
        </w:rPr>
        <w:t xml:space="preserve"> </w:t>
      </w:r>
    </w:p>
    <w:p w:rsidRPr="00AE220B" w:rsidR="00777D08" w:rsidRDefault="00211F76" w14:paraId="1542FD38" w14:textId="77777777">
      <w:pPr>
        <w:keepNext/>
        <w:widowControl w:val="0"/>
        <w:spacing w:after="0" w:line="240" w:lineRule="auto"/>
        <w:jc w:val="center"/>
        <w:rPr>
          <w:rFonts w:cs="Arial"/>
          <w:b/>
          <w:sz w:val="24"/>
          <w:szCs w:val="24"/>
        </w:rPr>
      </w:pPr>
      <w:r w:rsidRPr="00AE220B">
        <w:rPr>
          <w:rFonts w:cs="Arial"/>
          <w:b/>
          <w:sz w:val="24"/>
          <w:szCs w:val="24"/>
        </w:rPr>
        <w:t>Reference 24 CFR 91.220(l)(1)</w:t>
      </w:r>
      <w:r w:rsidRPr="00AE220B">
        <w:rPr>
          <w:i/>
        </w:rPr>
        <w:t xml:space="preserve"> </w:t>
      </w:r>
    </w:p>
    <w:p w:rsidRPr="00AE220B" w:rsidR="00777D08" w:rsidRDefault="00211F76" w14:paraId="45F8F92D" w14:textId="77777777">
      <w:pPr>
        <w:keepNext/>
        <w:widowControl w:val="0"/>
        <w:spacing w:after="0" w:line="240" w:lineRule="auto"/>
        <w:rPr>
          <w:rFonts w:cs="Arial"/>
        </w:rPr>
      </w:pPr>
      <w:r w:rsidRPr="00AE220B">
        <w:rPr>
          <w:rFonts w:cs="Arial"/>
        </w:rPr>
        <w:t>Projects planned with all CDBG funds expected to be available during the year are identified in the Projects Table. The following identifies program income that is available for use that is included in projects to be carried out.</w:t>
      </w:r>
      <w:r w:rsidRPr="00AE220B">
        <w:t xml:space="preserve"> </w:t>
      </w:r>
    </w:p>
    <w:p w:rsidRPr="00AE220B" w:rsidR="00777D08" w:rsidRDefault="00777D08" w14:paraId="7B7C1726" w14:textId="77777777">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Pr="00AE220B" w:rsidR="00777D08" w14:paraId="715C5B17" w14:textId="77777777">
        <w:tc>
          <w:tcPr>
            <w:tcW w:w="9576" w:type="dxa"/>
            <w:gridSpan w:val="2"/>
          </w:tcPr>
          <w:p w:rsidRPr="00AE220B" w:rsidR="00777D08" w:rsidRDefault="00777D08" w14:paraId="62910AE8" w14:textId="77777777">
            <w:pPr>
              <w:keepNext/>
              <w:widowControl w:val="0"/>
              <w:spacing w:after="0" w:line="240" w:lineRule="auto"/>
              <w:rPr>
                <w:rFonts w:cs="Arial"/>
              </w:rPr>
            </w:pPr>
          </w:p>
        </w:tc>
      </w:tr>
      <w:tr w:rsidRPr="00AE220B" w:rsidR="00777D08" w14:paraId="0FF63D05" w14:textId="77777777">
        <w:trPr>
          <w:cantSplit/>
        </w:trPr>
        <w:tc>
          <w:tcPr>
            <w:tcW w:w="0" w:type="auto"/>
            <w:vAlign w:val="center"/>
          </w:tcPr>
          <w:p w:rsidRPr="00AE220B" w:rsidR="00777D08" w:rsidRDefault="00211F76" w14:paraId="7F1F885F" w14:textId="77777777">
            <w:pPr>
              <w:spacing w:beforeAutospacing="1" w:afterAutospacing="1"/>
            </w:pPr>
            <w:r w:rsidRPr="00AE220B">
              <w:rPr>
                <w:color w:val="000000"/>
              </w:rPr>
              <w:t>1. The total amount of program income that will have been received before the start of the next program year and that has not yet been reprogrammed</w:t>
            </w:r>
          </w:p>
        </w:tc>
        <w:tc>
          <w:tcPr>
            <w:tcW w:w="0" w:type="auto"/>
            <w:vAlign w:val="bottom"/>
          </w:tcPr>
          <w:p w:rsidRPr="00AE220B" w:rsidR="00777D08" w:rsidRDefault="00211F76" w14:paraId="77BFB100" w14:textId="77777777">
            <w:pPr>
              <w:spacing w:beforeAutospacing="1" w:afterAutospacing="1"/>
              <w:jc w:val="right"/>
            </w:pPr>
            <w:r w:rsidRPr="00AE220B">
              <w:rPr>
                <w:color w:val="000000"/>
              </w:rPr>
              <w:t>0</w:t>
            </w:r>
          </w:p>
        </w:tc>
      </w:tr>
      <w:tr w:rsidRPr="00AE220B" w:rsidR="00777D08" w14:paraId="4A0C1BDC" w14:textId="77777777">
        <w:trPr>
          <w:cantSplit/>
        </w:trPr>
        <w:tc>
          <w:tcPr>
            <w:tcW w:w="0" w:type="auto"/>
            <w:vAlign w:val="center"/>
          </w:tcPr>
          <w:p w:rsidRPr="00AE220B" w:rsidR="00777D08" w:rsidRDefault="00211F76" w14:paraId="748FB192" w14:textId="77777777">
            <w:pPr>
              <w:spacing w:beforeAutospacing="1" w:afterAutospacing="1"/>
            </w:pPr>
            <w:r w:rsidRPr="00AE220B">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Pr="00AE220B" w:rsidR="00777D08" w:rsidRDefault="00211F76" w14:paraId="479C1630" w14:textId="77777777">
            <w:pPr>
              <w:spacing w:beforeAutospacing="1" w:afterAutospacing="1"/>
              <w:jc w:val="right"/>
            </w:pPr>
            <w:r w:rsidRPr="00AE220B">
              <w:rPr>
                <w:color w:val="000000"/>
              </w:rPr>
              <w:t>0</w:t>
            </w:r>
          </w:p>
        </w:tc>
      </w:tr>
      <w:tr w:rsidRPr="00AE220B" w:rsidR="00777D08" w14:paraId="5B1B9446" w14:textId="77777777">
        <w:trPr>
          <w:cantSplit/>
        </w:trPr>
        <w:tc>
          <w:tcPr>
            <w:tcW w:w="0" w:type="auto"/>
            <w:vAlign w:val="center"/>
          </w:tcPr>
          <w:p w:rsidRPr="00AE220B" w:rsidR="00777D08" w:rsidRDefault="00211F76" w14:paraId="4D959A64" w14:textId="77777777">
            <w:pPr>
              <w:spacing w:beforeAutospacing="1" w:afterAutospacing="1"/>
            </w:pPr>
            <w:r w:rsidRPr="00AE220B">
              <w:rPr>
                <w:color w:val="000000"/>
              </w:rPr>
              <w:t>3. The amount of surplus funds from urban renewal settlements</w:t>
            </w:r>
          </w:p>
        </w:tc>
        <w:tc>
          <w:tcPr>
            <w:tcW w:w="0" w:type="auto"/>
            <w:vAlign w:val="bottom"/>
          </w:tcPr>
          <w:p w:rsidRPr="00AE220B" w:rsidR="00777D08" w:rsidRDefault="00211F76" w14:paraId="7F50D580" w14:textId="77777777">
            <w:pPr>
              <w:spacing w:beforeAutospacing="1" w:afterAutospacing="1"/>
              <w:jc w:val="right"/>
            </w:pPr>
            <w:r w:rsidRPr="00AE220B">
              <w:rPr>
                <w:color w:val="000000"/>
              </w:rPr>
              <w:t>0</w:t>
            </w:r>
          </w:p>
        </w:tc>
      </w:tr>
      <w:tr w:rsidRPr="00AE220B" w:rsidR="00777D08" w14:paraId="5086C67C" w14:textId="77777777">
        <w:trPr>
          <w:cantSplit/>
        </w:trPr>
        <w:tc>
          <w:tcPr>
            <w:tcW w:w="0" w:type="auto"/>
            <w:vAlign w:val="center"/>
          </w:tcPr>
          <w:p w:rsidRPr="00AE220B" w:rsidR="00777D08" w:rsidRDefault="00211F76" w14:paraId="4C14162C" w14:textId="77777777">
            <w:pPr>
              <w:spacing w:beforeAutospacing="1" w:afterAutospacing="1"/>
            </w:pPr>
            <w:r w:rsidRPr="00AE220B">
              <w:rPr>
                <w:color w:val="000000"/>
              </w:rPr>
              <w:t>4. The amount of any grant funds returned to the line of credit for which the planned use has not been included in a prior statement or plan</w:t>
            </w:r>
          </w:p>
        </w:tc>
        <w:tc>
          <w:tcPr>
            <w:tcW w:w="0" w:type="auto"/>
            <w:vAlign w:val="bottom"/>
          </w:tcPr>
          <w:p w:rsidRPr="00AE220B" w:rsidR="00777D08" w:rsidRDefault="00211F76" w14:paraId="39A38088" w14:textId="77777777">
            <w:pPr>
              <w:spacing w:beforeAutospacing="1" w:afterAutospacing="1"/>
              <w:jc w:val="right"/>
            </w:pPr>
            <w:r w:rsidRPr="00AE220B">
              <w:rPr>
                <w:color w:val="000000"/>
              </w:rPr>
              <w:t>0</w:t>
            </w:r>
          </w:p>
        </w:tc>
      </w:tr>
      <w:tr w:rsidRPr="00AE220B" w:rsidR="00777D08" w14:paraId="62BC1A3E" w14:textId="77777777">
        <w:trPr>
          <w:cantSplit/>
        </w:trPr>
        <w:tc>
          <w:tcPr>
            <w:tcW w:w="0" w:type="auto"/>
            <w:vAlign w:val="center"/>
          </w:tcPr>
          <w:p w:rsidRPr="00AE220B" w:rsidR="00777D08" w:rsidRDefault="00211F76" w14:paraId="5D795E29" w14:textId="77777777">
            <w:pPr>
              <w:spacing w:beforeAutospacing="1" w:afterAutospacing="1"/>
            </w:pPr>
            <w:r w:rsidRPr="00AE220B">
              <w:rPr>
                <w:color w:val="000000"/>
              </w:rPr>
              <w:t>5. The amount of income from float-funded activities</w:t>
            </w:r>
          </w:p>
        </w:tc>
        <w:tc>
          <w:tcPr>
            <w:tcW w:w="0" w:type="auto"/>
            <w:vAlign w:val="bottom"/>
          </w:tcPr>
          <w:p w:rsidRPr="00AE220B" w:rsidR="00777D08" w:rsidRDefault="00211F76" w14:paraId="141E1FF1" w14:textId="77777777">
            <w:pPr>
              <w:spacing w:beforeAutospacing="1" w:afterAutospacing="1"/>
              <w:jc w:val="right"/>
            </w:pPr>
            <w:r w:rsidRPr="00AE220B">
              <w:rPr>
                <w:color w:val="000000"/>
              </w:rPr>
              <w:t>0</w:t>
            </w:r>
          </w:p>
        </w:tc>
      </w:tr>
      <w:tr w:rsidRPr="00AE220B" w:rsidR="00777D08" w14:paraId="1B021892" w14:textId="77777777">
        <w:trPr>
          <w:cantSplit/>
        </w:trPr>
        <w:tc>
          <w:tcPr>
            <w:tcW w:w="0" w:type="auto"/>
            <w:vAlign w:val="center"/>
          </w:tcPr>
          <w:p w:rsidRPr="00AE220B" w:rsidR="00777D08" w:rsidRDefault="00211F76" w14:paraId="6547B77B" w14:textId="77777777">
            <w:pPr>
              <w:spacing w:beforeAutospacing="1" w:afterAutospacing="1"/>
            </w:pPr>
            <w:r w:rsidRPr="00AE220B">
              <w:rPr>
                <w:b/>
                <w:color w:val="000000"/>
              </w:rPr>
              <w:t>Total Program Income:</w:t>
            </w:r>
          </w:p>
        </w:tc>
        <w:tc>
          <w:tcPr>
            <w:tcW w:w="0" w:type="auto"/>
            <w:vAlign w:val="center"/>
          </w:tcPr>
          <w:p w:rsidRPr="00AE220B" w:rsidR="00777D08" w:rsidRDefault="00211F76" w14:paraId="0B56C64C" w14:textId="77777777">
            <w:pPr>
              <w:spacing w:beforeAutospacing="1" w:afterAutospacing="1"/>
              <w:jc w:val="right"/>
            </w:pPr>
            <w:r w:rsidRPr="00AE220B">
              <w:rPr>
                <w:b/>
                <w:color w:val="000000"/>
              </w:rPr>
              <w:t>0</w:t>
            </w:r>
          </w:p>
        </w:tc>
      </w:tr>
    </w:tbl>
    <w:p w:rsidRPr="00AE220B" w:rsidR="00777D08" w:rsidRDefault="00777D08" w14:paraId="3A754D0A" w14:textId="77777777">
      <w:pPr>
        <w:keepNext/>
        <w:widowControl w:val="0"/>
        <w:spacing w:after="0" w:line="240" w:lineRule="auto"/>
        <w:rPr>
          <w:rFonts w:cs="Arial"/>
        </w:rPr>
      </w:pPr>
    </w:p>
    <w:p w:rsidRPr="00AE220B" w:rsidR="00777D08" w:rsidRDefault="00211F76" w14:paraId="411954B8" w14:textId="77777777">
      <w:pPr>
        <w:keepNext/>
        <w:widowControl w:val="0"/>
        <w:spacing w:after="0" w:line="240" w:lineRule="auto"/>
        <w:jc w:val="center"/>
        <w:rPr>
          <w:rFonts w:cs="Arial"/>
          <w:b/>
          <w:sz w:val="24"/>
          <w:szCs w:val="24"/>
        </w:rPr>
      </w:pPr>
      <w:r w:rsidRPr="00AE220B">
        <w:rPr>
          <w:rFonts w:cs="Arial"/>
          <w:b/>
          <w:sz w:val="24"/>
          <w:szCs w:val="24"/>
        </w:rPr>
        <w:t>Other CDBG Requirements</w:t>
      </w:r>
      <w:r w:rsidRPr="00AE220B">
        <w:rPr>
          <w:i/>
        </w:rPr>
        <w:t xml:space="preserve"> </w:t>
      </w:r>
    </w:p>
    <w:tbl>
      <w:tblPr>
        <w:tblW w:w="5000" w:type="pct"/>
        <w:tblInd w:w="115" w:type="dxa"/>
        <w:tblLook w:val="01E0" w:firstRow="1" w:lastRow="1" w:firstColumn="1" w:lastColumn="1" w:noHBand="0" w:noVBand="0"/>
      </w:tblPr>
      <w:tblGrid>
        <w:gridCol w:w="8599"/>
        <w:gridCol w:w="761"/>
      </w:tblGrid>
      <w:tr w:rsidRPr="00AE220B" w:rsidR="00777D08" w14:paraId="76210B98" w14:textId="77777777">
        <w:tc>
          <w:tcPr>
            <w:tcW w:w="9576" w:type="dxa"/>
            <w:gridSpan w:val="2"/>
          </w:tcPr>
          <w:p w:rsidRPr="00AE220B" w:rsidR="00777D08" w:rsidRDefault="00777D08" w14:paraId="03D3F9C1" w14:textId="77777777">
            <w:pPr>
              <w:keepNext/>
              <w:widowControl w:val="0"/>
              <w:spacing w:after="0" w:line="240" w:lineRule="auto"/>
              <w:rPr>
                <w:rFonts w:cs="Arial"/>
              </w:rPr>
            </w:pPr>
          </w:p>
        </w:tc>
      </w:tr>
      <w:tr w:rsidRPr="00AE220B" w:rsidR="00777D08" w14:paraId="7D9DC208" w14:textId="77777777">
        <w:trPr>
          <w:cantSplit/>
        </w:trPr>
        <w:tc>
          <w:tcPr>
            <w:tcW w:w="0" w:type="auto"/>
          </w:tcPr>
          <w:p w:rsidRPr="00AE220B" w:rsidR="00777D08" w:rsidRDefault="00211F76" w14:paraId="6CC6C60B" w14:textId="77777777">
            <w:pPr>
              <w:spacing w:beforeAutospacing="1" w:afterAutospacing="1"/>
            </w:pPr>
            <w:r w:rsidRPr="00AE220B">
              <w:rPr>
                <w:color w:val="000000"/>
              </w:rPr>
              <w:t>1. The amount of urgent need activities</w:t>
            </w:r>
          </w:p>
        </w:tc>
        <w:tc>
          <w:tcPr>
            <w:tcW w:w="0" w:type="auto"/>
            <w:vAlign w:val="bottom"/>
          </w:tcPr>
          <w:p w:rsidRPr="00AE220B" w:rsidR="00777D08" w:rsidRDefault="00211F76" w14:paraId="20A88FB4" w14:textId="77777777">
            <w:pPr>
              <w:spacing w:beforeAutospacing="1" w:afterAutospacing="1"/>
              <w:jc w:val="right"/>
            </w:pPr>
            <w:r w:rsidRPr="00AE220B">
              <w:rPr>
                <w:color w:val="000000"/>
              </w:rPr>
              <w:t>0</w:t>
            </w:r>
          </w:p>
        </w:tc>
      </w:tr>
    </w:tbl>
    <w:p w:rsidRPr="00AE220B" w:rsidR="00777D08" w:rsidRDefault="00777D08" w14:paraId="28299E59" w14:textId="77777777">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Pr="00AE220B" w:rsidR="00777D08" w14:paraId="7F2298FB" w14:textId="77777777">
        <w:tc>
          <w:tcPr>
            <w:tcW w:w="7923" w:type="dxa"/>
          </w:tcPr>
          <w:p w:rsidRPr="00AE220B" w:rsidR="00777D08" w:rsidRDefault="00777D08" w14:paraId="5FAC9678" w14:textId="77777777">
            <w:pPr>
              <w:keepNext/>
              <w:widowControl w:val="0"/>
              <w:spacing w:after="0" w:line="240" w:lineRule="auto"/>
              <w:rPr>
                <w:rFonts w:cs="Arial"/>
              </w:rPr>
            </w:pPr>
          </w:p>
        </w:tc>
        <w:tc>
          <w:tcPr>
            <w:tcW w:w="1665" w:type="dxa"/>
          </w:tcPr>
          <w:p w:rsidRPr="00AE220B" w:rsidR="00777D08" w:rsidRDefault="00777D08" w14:paraId="7B156723" w14:textId="77777777">
            <w:pPr>
              <w:keepNext/>
              <w:widowControl w:val="0"/>
              <w:spacing w:after="0" w:line="240" w:lineRule="auto"/>
              <w:rPr>
                <w:rFonts w:cs="Arial"/>
              </w:rPr>
            </w:pPr>
          </w:p>
        </w:tc>
      </w:tr>
      <w:tr w:rsidRPr="00ED22E1" w:rsidR="00777D08" w14:paraId="7C35A133" w14:textId="77777777">
        <w:trPr>
          <w:cantSplit/>
        </w:trPr>
        <w:tc>
          <w:tcPr>
            <w:tcW w:w="7923" w:type="dxa"/>
          </w:tcPr>
          <w:p w:rsidRPr="00AE220B" w:rsidR="00777D08" w:rsidRDefault="00211F76" w14:paraId="6D53CB58" w14:textId="7CA608D7">
            <w:pPr>
              <w:spacing w:beforeAutospacing="1" w:afterAutospacing="1"/>
            </w:pPr>
            <w:r w:rsidRPr="00AE220B">
              <w:rPr>
                <w:color w:val="000000"/>
              </w:rPr>
              <w:t>2. The estimated percentage of CDBG funds that will be used for activities that benefit persons of low and moderate income.</w:t>
            </w:r>
            <w:r w:rsidRPr="00AE220B" w:rsidR="00CA45AA">
              <w:rPr>
                <w:color w:val="000000"/>
              </w:rPr>
              <w:t xml:space="preserve"> </w:t>
            </w:r>
            <w:r w:rsidRPr="00AE220B">
              <w:rPr>
                <w:color w:val="000000"/>
              </w:rPr>
              <w:t>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Pr="00AE220B" w:rsidR="00777D08" w:rsidRDefault="00211F76" w14:paraId="42ACDA0B" w14:textId="59180EDB">
            <w:pPr>
              <w:spacing w:beforeAutospacing="1" w:afterAutospacing="1"/>
              <w:jc w:val="right"/>
            </w:pPr>
            <w:r w:rsidRPr="00AE220B">
              <w:rPr>
                <w:color w:val="000000"/>
              </w:rPr>
              <w:t>9</w:t>
            </w:r>
            <w:r w:rsidRPr="00AE220B" w:rsidR="00236A28">
              <w:rPr>
                <w:color w:val="000000"/>
              </w:rPr>
              <w:t>5</w:t>
            </w:r>
            <w:r w:rsidRPr="00AE220B">
              <w:rPr>
                <w:color w:val="000000"/>
              </w:rPr>
              <w:t>.00%</w:t>
            </w:r>
          </w:p>
        </w:tc>
      </w:tr>
    </w:tbl>
    <w:p w:rsidRPr="00ED22E1" w:rsidR="00777D08" w:rsidRDefault="00777D08" w14:paraId="30760D20" w14:textId="77777777">
      <w:pPr>
        <w:spacing w:after="0" w:line="240" w:lineRule="auto"/>
        <w:rPr>
          <w:rFonts w:cs="Arial"/>
          <w:highlight w:val="lightGray"/>
        </w:rPr>
      </w:pPr>
    </w:p>
    <w:p w:rsidRPr="00ED22E1" w:rsidR="00777D08" w:rsidRDefault="00777D08" w14:paraId="3BE2582C" w14:textId="77777777">
      <w:pPr>
        <w:spacing w:after="0" w:line="240" w:lineRule="auto"/>
        <w:rPr>
          <w:rFonts w:cs="Arial"/>
          <w:highlight w:val="lightGray"/>
        </w:rPr>
      </w:pPr>
    </w:p>
    <w:p w:rsidRPr="00ED22E1" w:rsidR="00777D08" w:rsidRDefault="00777D08" w14:paraId="755D57C3" w14:textId="77777777">
      <w:pPr>
        <w:spacing w:after="0" w:line="240" w:lineRule="auto"/>
        <w:rPr>
          <w:rFonts w:cs="Arial"/>
          <w:highlight w:val="lightGray"/>
        </w:rPr>
      </w:pPr>
    </w:p>
    <w:p w:rsidRPr="00964B72" w:rsidR="00AE220B" w:rsidP="00AE220B" w:rsidRDefault="00AE220B" w14:paraId="6A43460E" w14:textId="77777777">
      <w:pPr>
        <w:keepNext/>
        <w:spacing w:after="0" w:line="240" w:lineRule="auto"/>
        <w:jc w:val="center"/>
        <w:rPr>
          <w:rFonts w:cs="Arial"/>
          <w:b/>
          <w:sz w:val="24"/>
          <w:szCs w:val="24"/>
        </w:rPr>
      </w:pPr>
      <w:bookmarkStart w:name="_Hlk68005225" w:id="18"/>
      <w:r w:rsidRPr="00964B72">
        <w:rPr>
          <w:rFonts w:cs="Arial"/>
          <w:b/>
          <w:sz w:val="24"/>
          <w:szCs w:val="24"/>
        </w:rPr>
        <w:t>HOME Investment Partnership Program (HOME)</w:t>
      </w:r>
      <w:r w:rsidRPr="00964B72">
        <w:rPr>
          <w:i/>
        </w:rPr>
        <w:t xml:space="preserve"> </w:t>
      </w:r>
    </w:p>
    <w:p w:rsidRPr="00964B72" w:rsidR="00AE220B" w:rsidP="00AE220B" w:rsidRDefault="00AE220B" w14:paraId="31E386EA" w14:textId="77777777">
      <w:pPr>
        <w:keepNext/>
        <w:spacing w:after="0" w:line="240" w:lineRule="auto"/>
        <w:jc w:val="center"/>
        <w:rPr>
          <w:rFonts w:cs="Arial"/>
          <w:b/>
          <w:sz w:val="24"/>
          <w:szCs w:val="24"/>
        </w:rPr>
      </w:pPr>
      <w:r w:rsidRPr="00964B72">
        <w:rPr>
          <w:rFonts w:cs="Arial"/>
          <w:b/>
          <w:sz w:val="24"/>
          <w:szCs w:val="24"/>
        </w:rPr>
        <w:t>Reference 24 CFR 91.220(l)(2)</w:t>
      </w:r>
      <w:r w:rsidRPr="00964B72">
        <w:rPr>
          <w:i/>
        </w:rPr>
        <w:t xml:space="preserve"> </w:t>
      </w:r>
    </w:p>
    <w:p w:rsidRPr="00066CBB" w:rsidR="00AE220B" w:rsidP="00AE220B" w:rsidRDefault="00AE220B" w14:paraId="00BB9435" w14:textId="77777777">
      <w:pPr>
        <w:keepNext/>
        <w:widowControl w:val="0"/>
        <w:numPr>
          <w:ilvl w:val="0"/>
          <w:numId w:val="13"/>
        </w:numPr>
        <w:spacing w:after="0" w:line="240" w:lineRule="auto"/>
        <w:rPr>
          <w:rFonts w:cs="Arial"/>
          <w:b/>
        </w:rPr>
      </w:pPr>
      <w:r w:rsidRPr="00066CBB">
        <w:rPr>
          <w:rFonts w:cs="Arial"/>
          <w:b/>
        </w:rPr>
        <w:t>A description of other forms of investment being used beyond those identified in Section 92.205 is as follows:</w:t>
      </w:r>
      <w:r w:rsidRPr="00066CBB">
        <w:rPr>
          <w:b/>
          <w:i/>
        </w:rPr>
        <w:t xml:space="preserve"> </w:t>
      </w:r>
    </w:p>
    <w:p w:rsidRPr="00964B72" w:rsidR="00AE220B" w:rsidP="00AE220B" w:rsidRDefault="00AE220B" w14:paraId="37315686" w14:textId="77777777">
      <w:pPr>
        <w:keepNext/>
        <w:widowControl w:val="0"/>
        <w:spacing w:beforeAutospacing="1" w:afterAutospacing="1"/>
        <w:ind w:left="360"/>
        <w:rPr>
          <w:rFonts w:cs="Arial"/>
        </w:rPr>
      </w:pPr>
      <w:r w:rsidRPr="00964B72">
        <w:rPr>
          <w:rFonts w:cs="Arial"/>
        </w:rPr>
        <w:t xml:space="preserve">All HOME funds are invested in a manner consistent with 24 CFR 92.205(b)(1).  Specifically, HOME </w:t>
      </w:r>
      <w:r w:rsidRPr="00964B72">
        <w:rPr>
          <w:rFonts w:cs="Arial"/>
        </w:rPr>
        <w:lastRenderedPageBreak/>
        <w:t>funds are invested in interest-bearing and non-interest-bearing amortizing loans and in deferred loans and grants.</w:t>
      </w:r>
    </w:p>
    <w:p w:rsidRPr="00AF54F9" w:rsidR="00AE220B" w:rsidP="00AE220B" w:rsidRDefault="00AE220B" w14:paraId="7AD11F08" w14:textId="77777777">
      <w:pPr>
        <w:spacing w:after="0" w:line="240" w:lineRule="auto"/>
        <w:rPr>
          <w:rFonts w:cs="Arial"/>
        </w:rPr>
      </w:pPr>
    </w:p>
    <w:p w:rsidRPr="00964B72" w:rsidR="00AE220B" w:rsidP="00AE220B" w:rsidRDefault="00AE220B" w14:paraId="43A05EBB" w14:textId="77777777">
      <w:pPr>
        <w:keepNext/>
        <w:widowControl w:val="0"/>
        <w:numPr>
          <w:ilvl w:val="0"/>
          <w:numId w:val="13"/>
        </w:numPr>
        <w:spacing w:after="0" w:line="240" w:lineRule="auto"/>
        <w:rPr>
          <w:rFonts w:cs="Arial"/>
          <w:b/>
        </w:rPr>
      </w:pPr>
      <w:r w:rsidRPr="00964B72">
        <w:rPr>
          <w:rFonts w:cs="Arial"/>
          <w:b/>
        </w:rPr>
        <w:t>A description of the guidelines that will be used for resale or recapture of HOME funds when used for homebuyer activities as required in 92.254, is as follows:</w:t>
      </w:r>
      <w:r w:rsidRPr="00964B72">
        <w:rPr>
          <w:b/>
          <w:i/>
        </w:rPr>
        <w:t xml:space="preserve"> </w:t>
      </w:r>
    </w:p>
    <w:p w:rsidRPr="00066CBB" w:rsidR="00AE220B" w:rsidP="00AE220B" w:rsidRDefault="00AE220B" w14:paraId="7A5F0A44" w14:textId="46A59460">
      <w:pPr>
        <w:keepNext/>
        <w:widowControl w:val="0"/>
        <w:spacing w:beforeAutospacing="1" w:afterAutospacing="1"/>
        <w:ind w:left="360"/>
        <w:rPr>
          <w:rFonts w:cs="Arial"/>
        </w:rPr>
      </w:pPr>
      <w:r w:rsidRPr="00964B72">
        <w:rPr>
          <w:rFonts w:cs="Arial"/>
        </w:rPr>
        <w:t>For homebuyer projects where the Program provides HOME funds for low-interest loans for eligible homebuyers to assist with down payment and closing costs on eligible two to four-unit owner-occupied properties, the Program uses “recapture” provisions per 92.254(a)(5)(ii). These loans are secured by subordinate mortgages. When properties assisted with HOME funds for this purpose are sold, transferred, or if the primary residency is violated, then the full amount of the loan plus any accrued interest is to be repaid to the Program. Only the direct subsidy (down payment assistance, closing costs, or other HOME assistance provided directly to the homebuyer and/or the difference between the fair market value of the property and the reduced sales price attributable to HOME development assistance) is subject to recapture. However, the recapture amount shall not exceed the amount available from net proceeds. The net proceeds are the sales price minus loan repayment(s) (other than HOME funds) and closing costs. If this repayment occurs during the Home Affordability Period (HAP), then the funds are not considered to be program income. If this repayment occurs after the HAP, then the funds are considered to be program income. T</w:t>
      </w:r>
      <w:r w:rsidRPr="00066CBB">
        <w:rPr>
          <w:rFonts w:cs="Arial"/>
        </w:rPr>
        <w:t>he written agreements shall include language that makes it clear that recaptured funds after the HAP shall be considered program income. </w:t>
      </w:r>
    </w:p>
    <w:p w:rsidRPr="00964B72" w:rsidR="00AE220B" w:rsidP="00AE220B" w:rsidRDefault="00AE220B" w14:paraId="2B19C6D8" w14:textId="77777777">
      <w:pPr>
        <w:keepNext/>
        <w:widowControl w:val="0"/>
        <w:spacing w:beforeAutospacing="1" w:afterAutospacing="1"/>
        <w:ind w:left="360"/>
        <w:rPr>
          <w:rFonts w:cs="Arial"/>
        </w:rPr>
      </w:pPr>
      <w:r w:rsidRPr="00066CBB">
        <w:rPr>
          <w:rFonts w:cs="Arial"/>
        </w:rPr>
        <w:t>When a property owner assisted with HOME funds for this purpose refinances their principal mortgage, the Program shall consider executing a subordination agreement upon receiving a written request with sufficient documentation on current fair market value and proposed refinancing amount.  When considering such requests to subordinate its HOME mortgage, the Program shall r</w:t>
      </w:r>
      <w:r w:rsidRPr="00964B72">
        <w:rPr>
          <w:rFonts w:cs="Arial"/>
        </w:rPr>
        <w:t>equire that the loan-to-value ratio be no greater than 100%. </w:t>
      </w:r>
    </w:p>
    <w:p w:rsidRPr="00ED22E1" w:rsidR="00777D08" w:rsidRDefault="00777D08" w14:paraId="504BE0F1" w14:textId="77777777">
      <w:pPr>
        <w:spacing w:after="0" w:line="240" w:lineRule="auto"/>
        <w:rPr>
          <w:rFonts w:cs="Arial"/>
          <w:highlight w:val="lightGray"/>
        </w:rPr>
      </w:pPr>
    </w:p>
    <w:p w:rsidRPr="00964B72" w:rsidR="00AE220B" w:rsidP="00AE220B" w:rsidRDefault="00AE220B" w14:paraId="2865771E" w14:textId="77777777">
      <w:pPr>
        <w:keepNext/>
        <w:widowControl w:val="0"/>
        <w:numPr>
          <w:ilvl w:val="0"/>
          <w:numId w:val="13"/>
        </w:numPr>
        <w:spacing w:after="0" w:line="240" w:lineRule="auto"/>
        <w:rPr>
          <w:rFonts w:cs="Arial"/>
          <w:b/>
        </w:rPr>
      </w:pPr>
      <w:r w:rsidRPr="00964B72">
        <w:rPr>
          <w:rFonts w:cs="Arial"/>
          <w:b/>
        </w:rPr>
        <w:t>A description of the guidelines for resale or recapture that ensures the affordability of units acquired with HOME funds? See 24 CFR 92.254(a)(4) are as follows:</w:t>
      </w:r>
      <w:r w:rsidRPr="00964B72">
        <w:rPr>
          <w:b/>
          <w:i/>
        </w:rPr>
        <w:t xml:space="preserve"> </w:t>
      </w:r>
    </w:p>
    <w:p w:rsidRPr="00964B72" w:rsidR="00AE220B" w:rsidP="00AE220B" w:rsidRDefault="00AE220B" w14:paraId="57979191" w14:textId="77777777">
      <w:pPr>
        <w:keepNext/>
        <w:widowControl w:val="0"/>
        <w:spacing w:beforeAutospacing="1" w:afterAutospacing="1"/>
        <w:ind w:left="360"/>
        <w:rPr>
          <w:rFonts w:cs="Arial"/>
        </w:rPr>
      </w:pPr>
      <w:r w:rsidRPr="00964B72">
        <w:rPr>
          <w:rFonts w:cs="Arial"/>
        </w:rPr>
        <w:t xml:space="preserve">Resale Policy for HOME Subsidy on Owner-Occupied Homes: For homebuyer projects which are developed by nonprofits and which have perpetual affordability, the City uses “resale” provisions per 92.254(a)(5)(i) when HOME funds are used. During the HAP, the property must be sold to a low-income homebuyer. The original buyer of the HOME unit shall receive fair return on investment.  The Burlington HOME program defines "fair return" by the following formula: Fair Return = Sale Price - Outstanding Mortgage Debt - 75% of the market appreciation (if any) + the capital improvement credit. The Program defines capital improvements as any investment in the house that is not considered maintenance. Items like appliances, flooring, painting, roof, heating systems, electrical or plumbing are considered maintenance and not eligible.  Most common capital </w:t>
      </w:r>
      <w:r w:rsidRPr="00964B72">
        <w:rPr>
          <w:rFonts w:cs="Arial"/>
        </w:rPr>
        <w:lastRenderedPageBreak/>
        <w:t xml:space="preserve">improvements are finishing basements, adding decks, garages, sheds, square footage, baths, or upgrades in flooring or kitchens. This definition of “Fair Return” will typically return to the seller </w:t>
      </w:r>
      <w:r w:rsidRPr="00066CBB">
        <w:rPr>
          <w:rFonts w:cs="Arial"/>
        </w:rPr>
        <w:t>their original equity investment if the original purchase price is less than or equal to the sale price to the new buyer. In the event that a HOME “resale” unit sells for less than the original purchase price, then the difference comes from a reduction in the seller’s equity (from their down payment and/or reduction of loan principal).  This is the equity sharing formula used by both the Champlain Housing Trust and Green Mountain Habitat for Humanity. The Burlington HOME program defines "affordable to a reasonable range of buyers" as a home where the sum of the annual loan principal, interest, taxes, and insurance is less than 33% of the household's annual gross income.</w:t>
      </w:r>
    </w:p>
    <w:p w:rsidRPr="00964B72" w:rsidR="00AE220B" w:rsidP="00AE220B" w:rsidRDefault="00AE220B" w14:paraId="6CB84615" w14:textId="77777777">
      <w:pPr>
        <w:keepNext/>
        <w:widowControl w:val="0"/>
        <w:spacing w:beforeAutospacing="1" w:afterAutospacing="1"/>
        <w:ind w:left="360"/>
        <w:rPr>
          <w:rFonts w:cs="Arial"/>
        </w:rPr>
      </w:pPr>
      <w:r w:rsidRPr="00964B72">
        <w:rPr>
          <w:rFonts w:cs="Arial"/>
        </w:rPr>
        <w:t xml:space="preserve">The Program shall not allow the resale of a HOME-assisted unit to a subsequent homebuyer who is not low-income. When a HOME-assisted homeownership unit that is encumbered (through the requirements of another funding source such as the Vermont Housing </w:t>
      </w:r>
      <w:r w:rsidRPr="00AF54F9">
        <w:rPr>
          <w:rFonts w:cs="Arial"/>
        </w:rPr>
        <w:t>&amp;</w:t>
      </w:r>
      <w:r w:rsidRPr="00964B72">
        <w:rPr>
          <w:rFonts w:cs="Arial"/>
        </w:rPr>
        <w:t xml:space="preserve"> Conservation Board (“VHCB”)) with covenants ensuring perpetual affordability for households below 80% of area median income is sold, resale provisions ensure compliance with the HOME affordability requirements during the HOME Affordability Period. HOME funds which go into homebuyer units are typically, but not always, grants. The Program does not recapture the HOME funds unless the VHCB covenants are extinguished and the affordability is no longer ensured. The only scenario where the Program can envision requiring repayment of the above funds is if a) the HAP had expired and b) the statewide funder, the VHCB (which requires permanent (99 Year) affordability), for whatever reason chose to extinguish their covenants and the project effectively was leaving the permanently affordable housing stock.</w:t>
      </w:r>
    </w:p>
    <w:p w:rsidRPr="00ED22E1" w:rsidR="00777D08" w:rsidRDefault="00777D08" w14:paraId="79E73ACD" w14:textId="77777777">
      <w:pPr>
        <w:spacing w:after="0" w:line="240" w:lineRule="auto"/>
        <w:rPr>
          <w:rFonts w:cs="Arial"/>
          <w:highlight w:val="lightGray"/>
        </w:rPr>
      </w:pPr>
    </w:p>
    <w:bookmarkEnd w:id="17"/>
    <w:bookmarkEnd w:id="18"/>
    <w:p w:rsidRPr="00964B72" w:rsidR="00AE220B" w:rsidP="00AE220B" w:rsidRDefault="00AE220B" w14:paraId="655FDBDA" w14:textId="77777777">
      <w:pPr>
        <w:keepNext/>
        <w:widowControl w:val="0"/>
        <w:numPr>
          <w:ilvl w:val="0"/>
          <w:numId w:val="13"/>
        </w:numPr>
        <w:spacing w:after="0" w:line="240" w:lineRule="auto"/>
        <w:rPr>
          <w:rFonts w:cs="Arial"/>
          <w:b/>
        </w:rPr>
      </w:pPr>
      <w:r w:rsidRPr="00964B72">
        <w:rPr>
          <w:rFonts w:cs="Arial"/>
          <w:b/>
        </w:rPr>
        <w:t>Plans for using HOME funds to refinance existing debt secured by multifamily housing that is rehabilitated with HOME funds along with a description of the refinancing guidelines required that will be used under 24 CFR 92.206(b), are as follows:</w:t>
      </w:r>
      <w:r w:rsidRPr="00964B72">
        <w:rPr>
          <w:b/>
          <w:i/>
        </w:rPr>
        <w:t xml:space="preserve"> </w:t>
      </w:r>
    </w:p>
    <w:p w:rsidRPr="00964B72" w:rsidR="00AE220B" w:rsidP="00AE220B" w:rsidRDefault="00AE220B" w14:paraId="298232FB" w14:textId="77777777">
      <w:pPr>
        <w:keepNext/>
        <w:widowControl w:val="0"/>
        <w:spacing w:beforeAutospacing="1" w:afterAutospacing="1"/>
        <w:ind w:left="360"/>
        <w:rPr>
          <w:rFonts w:cs="Arial"/>
        </w:rPr>
      </w:pPr>
      <w:r w:rsidRPr="00964B72">
        <w:rPr>
          <w:rFonts w:cs="Arial"/>
        </w:rPr>
        <w:t>Multi-family projects developed by locally-based housing organizations that receive HOME funds for rehabilitation may utilize HOME funds to refinance existing debt, consistent with 24 CFR 92.206(b)(2), if they meet the following guidelines: </w:t>
      </w:r>
    </w:p>
    <w:p w:rsidRPr="00066CBB" w:rsidR="00AE220B" w:rsidP="00AE220B" w:rsidRDefault="00AE220B" w14:paraId="02EA9989" w14:textId="77777777">
      <w:pPr>
        <w:keepNext/>
        <w:widowControl w:val="0"/>
        <w:numPr>
          <w:ilvl w:val="0"/>
          <w:numId w:val="3"/>
        </w:numPr>
        <w:spacing w:beforeAutospacing="1" w:afterAutospacing="1"/>
        <w:ind w:left="360"/>
        <w:rPr>
          <w:rFonts w:cs="Arial"/>
        </w:rPr>
      </w:pPr>
      <w:r w:rsidRPr="00066CBB">
        <w:rPr>
          <w:rFonts w:cs="Arial"/>
        </w:rPr>
        <w:t>Refinancing is necessary to permit or to continue affordability under 24 CFR 92.252;</w:t>
      </w:r>
    </w:p>
    <w:p w:rsidRPr="00964B72" w:rsidR="00AE220B" w:rsidP="00AE220B" w:rsidRDefault="00AE220B" w14:paraId="7D10C1C8" w14:textId="77777777">
      <w:pPr>
        <w:keepNext/>
        <w:widowControl w:val="0"/>
        <w:numPr>
          <w:ilvl w:val="0"/>
          <w:numId w:val="3"/>
        </w:numPr>
        <w:spacing w:beforeAutospacing="1" w:afterAutospacing="1"/>
        <w:ind w:left="360"/>
        <w:rPr>
          <w:rFonts w:cs="Arial"/>
        </w:rPr>
      </w:pPr>
      <w:r w:rsidRPr="00964B72">
        <w:rPr>
          <w:rFonts w:cs="Arial"/>
        </w:rPr>
        <w:t>Rehabilitation is the primary eligible activity. A minimum of $7,500 of rehabilitation per unit is required;</w:t>
      </w:r>
    </w:p>
    <w:p w:rsidRPr="00964B72" w:rsidR="00AE220B" w:rsidP="00AE220B" w:rsidRDefault="00AE220B" w14:paraId="06E70B86" w14:textId="77777777">
      <w:pPr>
        <w:keepNext/>
        <w:widowControl w:val="0"/>
        <w:numPr>
          <w:ilvl w:val="0"/>
          <w:numId w:val="3"/>
        </w:numPr>
        <w:spacing w:beforeAutospacing="1" w:afterAutospacing="1"/>
        <w:ind w:left="360"/>
        <w:rPr>
          <w:rFonts w:cs="Arial"/>
        </w:rPr>
      </w:pPr>
      <w:r w:rsidRPr="00964B72">
        <w:rPr>
          <w:rFonts w:cs="Arial"/>
        </w:rPr>
        <w:t>The grantee must demonstrate management capacity and practices that ensure that the long-term needs of the project can be met, and the targeted population can be served over an extended affordability period;</w:t>
      </w:r>
    </w:p>
    <w:p w:rsidRPr="00964B72" w:rsidR="00AE220B" w:rsidP="00AE220B" w:rsidRDefault="00AE220B" w14:paraId="68B1D371" w14:textId="77777777">
      <w:pPr>
        <w:keepNext/>
        <w:widowControl w:val="0"/>
        <w:numPr>
          <w:ilvl w:val="0"/>
          <w:numId w:val="3"/>
        </w:numPr>
        <w:spacing w:beforeAutospacing="1" w:afterAutospacing="1"/>
        <w:ind w:left="360"/>
        <w:rPr>
          <w:rFonts w:cs="Arial"/>
        </w:rPr>
      </w:pPr>
      <w:r w:rsidRPr="00964B72">
        <w:rPr>
          <w:rFonts w:cs="Arial"/>
        </w:rPr>
        <w:t>The grantee must demonstrate that the new investment is being made to maintain current affordable units, to create greater affordability in current affordable units, or to create additional affordable units;</w:t>
      </w:r>
    </w:p>
    <w:p w:rsidRPr="00964B72" w:rsidR="00AE220B" w:rsidP="00AE220B" w:rsidRDefault="00AE220B" w14:paraId="090985FF" w14:textId="77777777">
      <w:pPr>
        <w:keepNext/>
        <w:widowControl w:val="0"/>
        <w:numPr>
          <w:ilvl w:val="0"/>
          <w:numId w:val="3"/>
        </w:numPr>
        <w:spacing w:beforeAutospacing="1" w:afterAutospacing="1"/>
        <w:ind w:left="360"/>
        <w:rPr>
          <w:rFonts w:cs="Arial"/>
        </w:rPr>
      </w:pPr>
      <w:r w:rsidRPr="00964B72">
        <w:rPr>
          <w:rFonts w:cs="Arial"/>
        </w:rPr>
        <w:t xml:space="preserve">The minimum HOME affordability period shall be 15 years, and all HOME-assisted projects </w:t>
      </w:r>
      <w:r w:rsidRPr="00964B72">
        <w:rPr>
          <w:rFonts w:cs="Arial"/>
        </w:rPr>
        <w:lastRenderedPageBreak/>
        <w:t>developed by locally-based housing organizations are required to be perpetually affordable;         </w:t>
      </w:r>
    </w:p>
    <w:p w:rsidRPr="00964B72" w:rsidR="00AE220B" w:rsidP="00AE220B" w:rsidRDefault="00AE220B" w14:paraId="4D664959" w14:textId="77777777">
      <w:pPr>
        <w:keepNext/>
        <w:widowControl w:val="0"/>
        <w:numPr>
          <w:ilvl w:val="0"/>
          <w:numId w:val="3"/>
        </w:numPr>
        <w:spacing w:beforeAutospacing="1" w:afterAutospacing="1"/>
        <w:ind w:left="360"/>
        <w:rPr>
          <w:rFonts w:cs="Arial"/>
        </w:rPr>
      </w:pPr>
      <w:r w:rsidRPr="00964B72">
        <w:rPr>
          <w:rFonts w:cs="Arial"/>
        </w:rPr>
        <w:t>Refinancing will be limited to projects that have previously received an investment of public funds;     </w:t>
      </w:r>
    </w:p>
    <w:p w:rsidRPr="00964B72" w:rsidR="00AE220B" w:rsidP="00AE220B" w:rsidRDefault="00AE220B" w14:paraId="6818C0A2" w14:textId="77777777">
      <w:pPr>
        <w:keepNext/>
        <w:widowControl w:val="0"/>
        <w:numPr>
          <w:ilvl w:val="0"/>
          <w:numId w:val="3"/>
        </w:numPr>
        <w:spacing w:beforeAutospacing="1" w:afterAutospacing="1"/>
        <w:ind w:left="360"/>
        <w:rPr>
          <w:rFonts w:cs="Arial"/>
        </w:rPr>
      </w:pPr>
      <w:r w:rsidRPr="00964B72">
        <w:rPr>
          <w:rFonts w:cs="Arial"/>
        </w:rPr>
        <w:t>HOME funds may be used for refinancing anywhere in the City of Burlington;</w:t>
      </w:r>
    </w:p>
    <w:p w:rsidRPr="00964B72" w:rsidR="00AE220B" w:rsidP="00AE220B" w:rsidRDefault="00AE220B" w14:paraId="18A2F6DF" w14:textId="77777777">
      <w:pPr>
        <w:keepNext/>
        <w:widowControl w:val="0"/>
        <w:numPr>
          <w:ilvl w:val="0"/>
          <w:numId w:val="3"/>
        </w:numPr>
        <w:spacing w:beforeAutospacing="1" w:afterAutospacing="1"/>
        <w:ind w:left="360"/>
        <w:rPr>
          <w:rFonts w:cs="Arial"/>
        </w:rPr>
      </w:pPr>
      <w:r w:rsidRPr="00964B72">
        <w:rPr>
          <w:rFonts w:cs="Arial"/>
        </w:rPr>
        <w:t>HOME funds cannot be used to refinance multi-family loans made or insured by any Federal program, including CDBG. </w:t>
      </w:r>
    </w:p>
    <w:p w:rsidRPr="00405222" w:rsidR="00AE220B" w:rsidP="00AE220B" w:rsidRDefault="00AE220B" w14:paraId="3EE591B1" w14:textId="77777777">
      <w:pPr>
        <w:spacing w:after="0" w:line="240" w:lineRule="auto"/>
        <w:ind w:left="360"/>
        <w:rPr>
          <w:rFonts w:cs="Arial"/>
        </w:rPr>
      </w:pPr>
    </w:p>
    <w:p w:rsidRPr="00964B72" w:rsidR="00AE220B" w:rsidP="00AE220B" w:rsidRDefault="00AE220B" w14:paraId="0813147D" w14:textId="77777777">
      <w:pPr>
        <w:contextualSpacing/>
        <w:rPr>
          <w:b/>
          <w:color w:val="000000" w:themeColor="text1"/>
          <w:sz w:val="24"/>
          <w:szCs w:val="24"/>
        </w:rPr>
      </w:pPr>
      <w:r w:rsidRPr="00964B72">
        <w:rPr>
          <w:b/>
          <w:color w:val="000000" w:themeColor="text1"/>
          <w:sz w:val="24"/>
          <w:szCs w:val="24"/>
        </w:rPr>
        <w:t>Discussion</w:t>
      </w:r>
    </w:p>
    <w:p w:rsidRPr="00964B72" w:rsidR="00AE220B" w:rsidP="00AE220B" w:rsidRDefault="00AE220B" w14:paraId="5F05A313" w14:textId="77777777">
      <w:pPr>
        <w:spacing w:beforeAutospacing="1" w:afterAutospacing="1"/>
        <w:rPr>
          <w:rFonts w:cs="Arial"/>
        </w:rPr>
      </w:pPr>
      <w:r w:rsidRPr="00964B72">
        <w:rPr>
          <w:rFonts w:cs="Arial"/>
        </w:rPr>
        <w:t>It is the policy of the City of Burlington HOME Program to provide information and otherwise attract eligible persons in the housing market area to available housing constructed or rehabilitated under the HOME Program without regard to race, color, national origin, sex, religion, sexual orientation, familial status, receipt of public assistance, or disability. The City of Burlington HOME Program incorporates the Equal Housing Opportunity logo in its letterhead, press releases and advertisements. For projects where five or more units are being assisted with HOME funds, grantees receiving HOME funds are required to contact one or more of the following agencies before filling vacancies during the HOME affordability period as stated in the HOME Program Loan/Grant agreement: local or State Housing Authority, Community Action agencies, area Mental Health and Developmental Disability agencies, area Office on Aging agencies, area homeless shelters, the Department of Social Welfare, Committee on Temporary Shelter, Vermont Center for Independent Living or any statewide handicapped accessibility clearinghouse, area AIDS service organizations, medical centers, schools, municipalities and any other social service agencies. Any advertisement of vacant rental or ownership u</w:t>
      </w:r>
      <w:r w:rsidRPr="00066CBB">
        <w:rPr>
          <w:rFonts w:cs="Arial"/>
        </w:rPr>
        <w:t>nits during the HOME Affordability Period must include the equal housing opportunity logo or statement.  Advertising media may include newspapers, radio, television, brochures, leaflets, or simply a sign in a window. Housing borrowers, grantees or property management agents must display the fair housing poster in areas that are accessible to the public.  Property owners or their management agents must maintain a file containing a record of all marketing efforts (e.g., copies of newspaper ads, copies of letters). The City’s HOME Program monitors compliance as part of its ongoing monitoring process.  Where noncompliance is discovered, the HOME Program will provide technical assistance to secure voluntary compliance.  If this proves unsuccessful, the HOME Program will refer aggrieved parties to appropriate entities to seek redress.</w:t>
      </w:r>
    </w:p>
    <w:p w:rsidRPr="005F24E6" w:rsidR="00AE220B" w:rsidP="00AE220B" w:rsidRDefault="00AE220B" w14:paraId="764DFB6C" w14:textId="023DF767">
      <w:pPr>
        <w:spacing w:beforeAutospacing="1" w:afterAutospacing="1"/>
        <w:rPr>
          <w:rFonts w:cs="Arial"/>
        </w:rPr>
      </w:pPr>
      <w:r w:rsidRPr="00964B72">
        <w:rPr>
          <w:rFonts w:cs="Arial"/>
        </w:rPr>
        <w:t>The City’s HOME program uses the HOME affordable homeownership limits provided by HUD for homebuyer assistance and for rehabilitation of owner-occupied single-family housing. When using HOME funds with non-profit projects, the City accepts applications on a rolling basis and distributes funds as available to eligible and viable projects. Detailed information on applicant eligibility and how to apply can be found on the CEDO’s website. The City does not limit or give preference to HOME applicants or beneficiaries.</w:t>
      </w:r>
    </w:p>
    <w:p w:rsidRPr="00ED22E1" w:rsidR="00CD0D99" w:rsidP="00211F76" w:rsidRDefault="00211F76" w14:paraId="35159A21" w14:textId="77777777">
      <w:pPr>
        <w:pStyle w:val="Title"/>
        <w:rPr>
          <w:highlight w:val="lightGray"/>
        </w:rPr>
        <w:sectPr w:rsidRPr="00ED22E1" w:rsidR="00CD0D99">
          <w:headerReference w:type="even" r:id="rId23"/>
          <w:headerReference w:type="default" r:id="rId24"/>
          <w:footerReference w:type="even" r:id="rId25"/>
          <w:headerReference w:type="first" r:id="rId26"/>
          <w:footerReference w:type="first" r:id="rId27"/>
          <w:pgSz w:w="12240" w:h="15840" w:orient="portrait" w:code="1"/>
          <w:pgMar w:top="1440" w:right="1440" w:bottom="1440" w:left="1440" w:header="720" w:footer="720" w:gutter="0"/>
          <w:cols w:space="720"/>
          <w:docGrid w:linePitch="360"/>
        </w:sectPr>
      </w:pPr>
      <w:r w:rsidRPr="00ED22E1">
        <w:rPr>
          <w:highlight w:val="lightGray"/>
        </w:rPr>
        <w:br w:type="page"/>
      </w:r>
    </w:p>
    <w:p w:rsidRPr="001A12A3" w:rsidR="00211F76" w:rsidP="00211F76" w:rsidRDefault="00211F76" w14:paraId="18C6BCA2" w14:textId="77777777">
      <w:pPr>
        <w:pStyle w:val="Title"/>
        <w:rPr>
          <w:rStyle w:val="Emphasis"/>
        </w:rPr>
      </w:pPr>
      <w:r w:rsidRPr="001A12A3">
        <w:rPr>
          <w:rStyle w:val="Emphasis"/>
        </w:rPr>
        <w:lastRenderedPageBreak/>
        <w:t>Appendix</w:t>
      </w:r>
    </w:p>
    <w:p w:rsidRPr="001A12A3" w:rsidR="00211F76" w:rsidP="00211F76" w:rsidRDefault="00211F76" w14:paraId="1B3F41C2" w14:textId="77777777"/>
    <w:p w:rsidRPr="001A12A3" w:rsidR="00211F76" w:rsidP="00211F76" w:rsidRDefault="00211F76" w14:paraId="64CA7E13" w14:textId="77777777">
      <w:r w:rsidRPr="001A12A3">
        <w:t>1. Burlington Low/Moderate Income Population by Cen</w:t>
      </w:r>
      <w:r w:rsidRPr="001A12A3" w:rsidR="00CD0D99">
        <w:t xml:space="preserve">sus Tract &amp; Block Group </w:t>
      </w:r>
    </w:p>
    <w:p w:rsidRPr="001A12A3" w:rsidR="00211F76" w:rsidP="00211F76" w:rsidRDefault="00211F76" w14:paraId="47538D7F" w14:textId="77777777">
      <w:r w:rsidRPr="001A12A3">
        <w:t>2. Burli</w:t>
      </w:r>
      <w:r w:rsidRPr="001A12A3" w:rsidR="00AC66FA">
        <w:t xml:space="preserve">ngton Census Tract Map </w:t>
      </w:r>
    </w:p>
    <w:p w:rsidRPr="00ED22E1" w:rsidR="00777D08" w:rsidRDefault="00777D08" w14:paraId="6B681EDF" w14:textId="77777777">
      <w:pPr>
        <w:spacing w:after="0" w:line="240" w:lineRule="auto"/>
        <w:rPr>
          <w:highlight w:val="lightGray"/>
        </w:rPr>
      </w:pPr>
    </w:p>
    <w:p w:rsidRPr="00ED22E1" w:rsidR="00211F76" w:rsidRDefault="00211F76" w14:paraId="147533C5" w14:textId="77777777">
      <w:pPr>
        <w:spacing w:after="0" w:line="240" w:lineRule="auto"/>
        <w:rPr>
          <w:highlight w:val="lightGray"/>
        </w:rPr>
      </w:pPr>
    </w:p>
    <w:p w:rsidRPr="00ED22E1" w:rsidR="00211F76" w:rsidRDefault="00211F76" w14:paraId="6F4FCFA0" w14:textId="77777777">
      <w:pPr>
        <w:spacing w:after="0" w:line="240" w:lineRule="auto"/>
        <w:rPr>
          <w:highlight w:val="lightGray"/>
        </w:rPr>
      </w:pPr>
    </w:p>
    <w:p w:rsidRPr="00ED22E1" w:rsidR="00211F76" w:rsidRDefault="00211F76" w14:paraId="63DD1CC4" w14:textId="77777777">
      <w:pPr>
        <w:spacing w:after="0" w:line="240" w:lineRule="auto"/>
        <w:rPr>
          <w:highlight w:val="lightGray"/>
        </w:rPr>
      </w:pPr>
    </w:p>
    <w:p w:rsidRPr="00ED22E1" w:rsidR="00211F76" w:rsidRDefault="00211F76" w14:paraId="34A57DEB" w14:textId="77777777">
      <w:pPr>
        <w:spacing w:after="0" w:line="240" w:lineRule="auto"/>
        <w:rPr>
          <w:highlight w:val="lightGray"/>
        </w:rPr>
      </w:pPr>
    </w:p>
    <w:p w:rsidRPr="00ED22E1" w:rsidR="00211F76" w:rsidRDefault="00211F76" w14:paraId="4BDC7DBB" w14:textId="77777777">
      <w:pPr>
        <w:spacing w:after="0" w:line="240" w:lineRule="auto"/>
        <w:rPr>
          <w:highlight w:val="lightGray"/>
        </w:rPr>
      </w:pPr>
    </w:p>
    <w:p w:rsidRPr="00ED22E1" w:rsidR="00211F76" w:rsidRDefault="00211F76" w14:paraId="64D05535" w14:textId="77777777">
      <w:pPr>
        <w:spacing w:after="0" w:line="240" w:lineRule="auto"/>
        <w:rPr>
          <w:highlight w:val="lightGray"/>
        </w:rPr>
      </w:pPr>
    </w:p>
    <w:p w:rsidRPr="00ED22E1" w:rsidR="00211F76" w:rsidRDefault="00211F76" w14:paraId="2761D023" w14:textId="77777777">
      <w:pPr>
        <w:spacing w:after="0" w:line="240" w:lineRule="auto"/>
        <w:rPr>
          <w:highlight w:val="lightGray"/>
        </w:rPr>
      </w:pPr>
    </w:p>
    <w:p w:rsidRPr="00ED22E1" w:rsidR="00211F76" w:rsidRDefault="00211F76" w14:paraId="6E7A882F" w14:textId="77777777">
      <w:pPr>
        <w:spacing w:after="0" w:line="240" w:lineRule="auto"/>
        <w:rPr>
          <w:highlight w:val="lightGray"/>
        </w:rPr>
      </w:pPr>
    </w:p>
    <w:p w:rsidRPr="00ED22E1" w:rsidR="00211F76" w:rsidRDefault="00211F76" w14:paraId="6DC75920" w14:textId="77777777">
      <w:pPr>
        <w:spacing w:after="0" w:line="240" w:lineRule="auto"/>
        <w:rPr>
          <w:highlight w:val="lightGray"/>
        </w:rPr>
      </w:pPr>
    </w:p>
    <w:p w:rsidRPr="00ED22E1" w:rsidR="00211F76" w:rsidRDefault="00211F76" w14:paraId="13B309C1" w14:textId="77777777">
      <w:pPr>
        <w:spacing w:after="0" w:line="240" w:lineRule="auto"/>
        <w:rPr>
          <w:highlight w:val="lightGray"/>
        </w:rPr>
      </w:pPr>
    </w:p>
    <w:p w:rsidRPr="00ED22E1" w:rsidR="00211F76" w:rsidRDefault="00211F76" w14:paraId="5689DE98" w14:textId="77777777">
      <w:pPr>
        <w:spacing w:after="0" w:line="240" w:lineRule="auto"/>
        <w:rPr>
          <w:highlight w:val="lightGray"/>
        </w:rPr>
      </w:pPr>
    </w:p>
    <w:p w:rsidRPr="00ED22E1" w:rsidR="00211F76" w:rsidRDefault="00211F76" w14:paraId="022D50E1" w14:textId="77777777">
      <w:pPr>
        <w:spacing w:after="0" w:line="240" w:lineRule="auto"/>
        <w:rPr>
          <w:highlight w:val="lightGray"/>
        </w:rPr>
      </w:pPr>
    </w:p>
    <w:p w:rsidRPr="00ED22E1" w:rsidR="00211F76" w:rsidRDefault="00211F76" w14:paraId="1F846B2F" w14:textId="77777777">
      <w:pPr>
        <w:spacing w:after="0" w:line="240" w:lineRule="auto"/>
        <w:rPr>
          <w:highlight w:val="lightGray"/>
        </w:rPr>
      </w:pPr>
    </w:p>
    <w:p w:rsidRPr="00ED22E1" w:rsidR="00211F76" w:rsidRDefault="00211F76" w14:paraId="36109A55" w14:textId="77777777">
      <w:pPr>
        <w:spacing w:after="0" w:line="240" w:lineRule="auto"/>
        <w:rPr>
          <w:highlight w:val="lightGray"/>
        </w:rPr>
      </w:pPr>
    </w:p>
    <w:p w:rsidRPr="00ED22E1" w:rsidR="00211F76" w:rsidRDefault="00211F76" w14:paraId="35FD7876" w14:textId="77777777">
      <w:pPr>
        <w:spacing w:after="0" w:line="240" w:lineRule="auto"/>
        <w:rPr>
          <w:highlight w:val="lightGray"/>
        </w:rPr>
      </w:pPr>
    </w:p>
    <w:p w:rsidRPr="00ED22E1" w:rsidR="00211F76" w:rsidRDefault="00211F76" w14:paraId="58030894" w14:textId="77777777">
      <w:pPr>
        <w:spacing w:after="0" w:line="240" w:lineRule="auto"/>
        <w:rPr>
          <w:highlight w:val="lightGray"/>
        </w:rPr>
      </w:pPr>
    </w:p>
    <w:p w:rsidRPr="00ED22E1" w:rsidR="00211F76" w:rsidRDefault="00211F76" w14:paraId="076CFB13" w14:textId="77777777">
      <w:pPr>
        <w:spacing w:after="0" w:line="240" w:lineRule="auto"/>
        <w:rPr>
          <w:highlight w:val="lightGray"/>
        </w:rPr>
      </w:pPr>
    </w:p>
    <w:p w:rsidRPr="00ED22E1" w:rsidR="00211F76" w:rsidRDefault="00211F76" w14:paraId="7AE8AB31" w14:textId="77777777">
      <w:pPr>
        <w:spacing w:after="0" w:line="240" w:lineRule="auto"/>
        <w:rPr>
          <w:highlight w:val="lightGray"/>
        </w:rPr>
      </w:pPr>
    </w:p>
    <w:p w:rsidRPr="00ED22E1" w:rsidR="00211F76" w:rsidRDefault="00211F76" w14:paraId="4AFC65D8" w14:textId="77777777">
      <w:pPr>
        <w:spacing w:after="0" w:line="240" w:lineRule="auto"/>
        <w:rPr>
          <w:highlight w:val="lightGray"/>
        </w:rPr>
      </w:pPr>
    </w:p>
    <w:p w:rsidRPr="00ED22E1" w:rsidR="00211F76" w:rsidRDefault="00211F76" w14:paraId="4FDBF0CD" w14:textId="77777777">
      <w:pPr>
        <w:spacing w:after="0" w:line="240" w:lineRule="auto"/>
        <w:rPr>
          <w:highlight w:val="lightGray"/>
        </w:rPr>
      </w:pPr>
    </w:p>
    <w:p w:rsidRPr="00ED22E1" w:rsidR="00211F76" w:rsidRDefault="00211F76" w14:paraId="43B1C070" w14:textId="77777777">
      <w:pPr>
        <w:spacing w:after="0" w:line="240" w:lineRule="auto"/>
        <w:rPr>
          <w:highlight w:val="lightGray"/>
        </w:rPr>
      </w:pPr>
    </w:p>
    <w:p w:rsidRPr="00ED22E1" w:rsidR="00211F76" w:rsidRDefault="00211F76" w14:paraId="15306BF8" w14:textId="77777777">
      <w:pPr>
        <w:spacing w:after="0" w:line="240" w:lineRule="auto"/>
        <w:rPr>
          <w:highlight w:val="lightGray"/>
        </w:rPr>
      </w:pPr>
    </w:p>
    <w:p w:rsidRPr="00ED22E1" w:rsidR="00211F76" w:rsidRDefault="00211F76" w14:paraId="7DAAD66B" w14:textId="77777777">
      <w:pPr>
        <w:spacing w:after="0" w:line="240" w:lineRule="auto"/>
        <w:rPr>
          <w:highlight w:val="lightGray"/>
        </w:rPr>
      </w:pPr>
    </w:p>
    <w:p w:rsidRPr="00ED22E1" w:rsidR="00211F76" w:rsidRDefault="00211F76" w14:paraId="1DF0B219" w14:textId="77777777">
      <w:pPr>
        <w:spacing w:after="0" w:line="240" w:lineRule="auto"/>
        <w:rPr>
          <w:highlight w:val="lightGray"/>
        </w:rPr>
      </w:pPr>
    </w:p>
    <w:tbl>
      <w:tblPr>
        <w:tblpPr w:leftFromText="180" w:rightFromText="180" w:vertAnchor="page" w:horzAnchor="margin" w:tblpXSpec="center" w:tblpY="1254"/>
        <w:tblW w:w="14688" w:type="dxa"/>
        <w:tblLayout w:type="fixed"/>
        <w:tblLook w:val="04A0" w:firstRow="1" w:lastRow="0" w:firstColumn="1" w:lastColumn="0" w:noHBand="0" w:noVBand="1"/>
      </w:tblPr>
      <w:tblGrid>
        <w:gridCol w:w="3258"/>
        <w:gridCol w:w="810"/>
        <w:gridCol w:w="1260"/>
        <w:gridCol w:w="1710"/>
        <w:gridCol w:w="990"/>
        <w:gridCol w:w="1170"/>
        <w:gridCol w:w="1350"/>
        <w:gridCol w:w="1170"/>
        <w:gridCol w:w="1170"/>
        <w:gridCol w:w="900"/>
        <w:gridCol w:w="900"/>
      </w:tblGrid>
      <w:tr w:rsidRPr="00323D93" w:rsidR="00211F76" w:rsidTr="00211F76" w14:paraId="32A61837" w14:textId="77777777">
        <w:trPr>
          <w:trHeight w:val="796"/>
        </w:trPr>
        <w:tc>
          <w:tcPr>
            <w:tcW w:w="3258" w:type="dxa"/>
            <w:tcBorders>
              <w:top w:val="single" w:color="4BACC6" w:sz="4" w:space="0"/>
              <w:left w:val="single" w:color="4BACC6" w:sz="4" w:space="0"/>
              <w:bottom w:val="nil"/>
              <w:right w:val="nil"/>
            </w:tcBorders>
            <w:shd w:val="clear" w:color="4BACC6" w:fill="4BACC6"/>
            <w:noWrap/>
            <w:vAlign w:val="center"/>
            <w:hideMark/>
          </w:tcPr>
          <w:p w:rsidRPr="00323D93" w:rsidR="00211F76" w:rsidP="00211F76" w:rsidRDefault="00211F76" w14:paraId="35ED19DC"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lastRenderedPageBreak/>
              <w:t>Code</w:t>
            </w:r>
          </w:p>
        </w:tc>
        <w:tc>
          <w:tcPr>
            <w:tcW w:w="810" w:type="dxa"/>
            <w:tcBorders>
              <w:top w:val="single" w:color="4BACC6" w:sz="4" w:space="0"/>
              <w:left w:val="nil"/>
              <w:bottom w:val="nil"/>
              <w:right w:val="nil"/>
            </w:tcBorders>
            <w:shd w:val="clear" w:color="4BACC6" w:fill="4BACC6"/>
            <w:noWrap/>
            <w:vAlign w:val="center"/>
            <w:hideMark/>
          </w:tcPr>
          <w:p w:rsidRPr="00323D93" w:rsidR="00211F76" w:rsidP="00211F76" w:rsidRDefault="00211F76" w14:paraId="6405F046"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State</w:t>
            </w:r>
          </w:p>
        </w:tc>
        <w:tc>
          <w:tcPr>
            <w:tcW w:w="1260" w:type="dxa"/>
            <w:tcBorders>
              <w:top w:val="single" w:color="4BACC6" w:sz="4" w:space="0"/>
              <w:left w:val="nil"/>
              <w:bottom w:val="nil"/>
              <w:right w:val="nil"/>
            </w:tcBorders>
            <w:shd w:val="clear" w:color="4BACC6" w:fill="4BACC6"/>
            <w:noWrap/>
            <w:vAlign w:val="center"/>
            <w:hideMark/>
          </w:tcPr>
          <w:p w:rsidRPr="00323D93" w:rsidR="00211F76" w:rsidP="00211F76" w:rsidRDefault="00211F76" w14:paraId="52DFA816"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County</w:t>
            </w:r>
          </w:p>
        </w:tc>
        <w:tc>
          <w:tcPr>
            <w:tcW w:w="1710" w:type="dxa"/>
            <w:tcBorders>
              <w:top w:val="single" w:color="4BACC6" w:sz="4" w:space="0"/>
              <w:left w:val="nil"/>
              <w:bottom w:val="nil"/>
              <w:right w:val="nil"/>
            </w:tcBorders>
            <w:shd w:val="clear" w:color="4BACC6" w:fill="4BACC6"/>
            <w:noWrap/>
            <w:vAlign w:val="center"/>
            <w:hideMark/>
          </w:tcPr>
          <w:p w:rsidRPr="00323D93" w:rsidR="00211F76" w:rsidP="00211F76" w:rsidRDefault="00211F76" w14:paraId="69403B17"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Neighborhood Revitalization Strategy Area?</w:t>
            </w:r>
          </w:p>
        </w:tc>
        <w:tc>
          <w:tcPr>
            <w:tcW w:w="990" w:type="dxa"/>
            <w:tcBorders>
              <w:top w:val="single" w:color="4BACC6" w:sz="4" w:space="0"/>
              <w:left w:val="nil"/>
              <w:bottom w:val="nil"/>
              <w:right w:val="nil"/>
            </w:tcBorders>
            <w:shd w:val="clear" w:color="4BACC6" w:fill="4BACC6"/>
            <w:vAlign w:val="center"/>
            <w:hideMark/>
          </w:tcPr>
          <w:p w:rsidRPr="00323D93" w:rsidR="00211F76" w:rsidP="00211F76" w:rsidRDefault="00211F76" w14:paraId="6027DF29"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Low Income</w:t>
            </w:r>
          </w:p>
        </w:tc>
        <w:tc>
          <w:tcPr>
            <w:tcW w:w="1170" w:type="dxa"/>
            <w:tcBorders>
              <w:top w:val="single" w:color="4BACC6" w:sz="4" w:space="0"/>
              <w:left w:val="nil"/>
              <w:bottom w:val="nil"/>
              <w:right w:val="nil"/>
            </w:tcBorders>
            <w:shd w:val="clear" w:color="4BACC6" w:fill="4BACC6"/>
            <w:vAlign w:val="center"/>
            <w:hideMark/>
          </w:tcPr>
          <w:p w:rsidRPr="00323D93" w:rsidR="00211F76" w:rsidP="00211F76" w:rsidRDefault="00211F76" w14:paraId="74A900C2"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 xml:space="preserve">Low/Mod Income </w:t>
            </w:r>
          </w:p>
        </w:tc>
        <w:tc>
          <w:tcPr>
            <w:tcW w:w="1350" w:type="dxa"/>
            <w:tcBorders>
              <w:top w:val="single" w:color="4BACC6" w:sz="4" w:space="0"/>
              <w:left w:val="nil"/>
              <w:bottom w:val="nil"/>
              <w:right w:val="nil"/>
            </w:tcBorders>
            <w:shd w:val="clear" w:color="4BACC6" w:fill="4BACC6"/>
            <w:vAlign w:val="center"/>
            <w:hideMark/>
          </w:tcPr>
          <w:p w:rsidRPr="00323D93" w:rsidR="00211F76" w:rsidP="00211F76" w:rsidRDefault="00211F76" w14:paraId="128EFCA7"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 xml:space="preserve"> Low/Mod/Med Income (LMMI) </w:t>
            </w:r>
          </w:p>
        </w:tc>
        <w:tc>
          <w:tcPr>
            <w:tcW w:w="1170" w:type="dxa"/>
            <w:tcBorders>
              <w:top w:val="single" w:color="4BACC6" w:sz="4" w:space="0"/>
              <w:left w:val="nil"/>
              <w:bottom w:val="nil"/>
              <w:right w:val="nil"/>
            </w:tcBorders>
            <w:shd w:val="clear" w:color="4BACC6" w:fill="4BACC6"/>
            <w:vAlign w:val="center"/>
            <w:hideMark/>
          </w:tcPr>
          <w:p w:rsidRPr="00323D93" w:rsidR="00211F76" w:rsidP="00211F76" w:rsidRDefault="00211F76" w14:paraId="127F54FC"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 xml:space="preserve">Low/Mod Universe </w:t>
            </w:r>
          </w:p>
        </w:tc>
        <w:tc>
          <w:tcPr>
            <w:tcW w:w="1170" w:type="dxa"/>
            <w:tcBorders>
              <w:top w:val="single" w:color="4BACC6" w:sz="4" w:space="0"/>
              <w:left w:val="nil"/>
              <w:bottom w:val="nil"/>
              <w:right w:val="single" w:color="4BACC6" w:sz="4" w:space="0"/>
            </w:tcBorders>
            <w:shd w:val="clear" w:color="4BACC6" w:fill="4BACC6"/>
            <w:noWrap/>
            <w:vAlign w:val="center"/>
            <w:hideMark/>
          </w:tcPr>
          <w:p w:rsidRPr="00323D93" w:rsidR="00211F76" w:rsidP="00211F76" w:rsidRDefault="00211F76" w14:paraId="39EBF182"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 xml:space="preserve">% </w:t>
            </w:r>
          </w:p>
          <w:p w:rsidRPr="00323D93" w:rsidR="00211F76" w:rsidP="00211F76" w:rsidRDefault="00211F76" w14:paraId="2B9CD747"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LM Income/</w:t>
            </w:r>
          </w:p>
          <w:p w:rsidRPr="00323D93" w:rsidR="00211F76" w:rsidP="00211F76" w:rsidRDefault="00211F76" w14:paraId="3AFB8A79"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LM Uni</w:t>
            </w:r>
          </w:p>
        </w:tc>
        <w:tc>
          <w:tcPr>
            <w:tcW w:w="900" w:type="dxa"/>
            <w:tcBorders>
              <w:top w:val="single" w:color="4BACC6" w:sz="4" w:space="0"/>
              <w:left w:val="nil"/>
              <w:bottom w:val="nil"/>
              <w:right w:val="single" w:color="4BACC6" w:sz="4" w:space="0"/>
            </w:tcBorders>
            <w:shd w:val="clear" w:color="4BACC6" w:fill="4BACC6"/>
          </w:tcPr>
          <w:p w:rsidRPr="00323D93" w:rsidR="00211F76" w:rsidP="00211F76" w:rsidRDefault="00211F76" w14:paraId="5EFC08F7" w14:textId="77777777">
            <w:pPr>
              <w:spacing w:after="0" w:line="240" w:lineRule="auto"/>
              <w:jc w:val="center"/>
              <w:rPr>
                <w:rFonts w:ascii="Arial" w:hAnsi="Arial" w:eastAsia="Times New Roman" w:cs="Arial"/>
                <w:b/>
                <w:bCs/>
                <w:color w:val="FFFFFF"/>
                <w:sz w:val="20"/>
                <w:szCs w:val="20"/>
                <w:u w:val="single"/>
              </w:rPr>
            </w:pPr>
          </w:p>
          <w:p w:rsidRPr="00323D93" w:rsidR="00211F76" w:rsidP="00211F76" w:rsidRDefault="00211F76" w14:paraId="05F0D0BD"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 xml:space="preserve"> Over 51% L/MI</w:t>
            </w:r>
          </w:p>
        </w:tc>
        <w:tc>
          <w:tcPr>
            <w:tcW w:w="900" w:type="dxa"/>
            <w:tcBorders>
              <w:top w:val="single" w:color="4BACC6" w:sz="4" w:space="0"/>
              <w:left w:val="nil"/>
              <w:bottom w:val="nil"/>
              <w:right w:val="single" w:color="4BACC6" w:sz="4" w:space="0"/>
            </w:tcBorders>
            <w:shd w:val="clear" w:color="4BACC6" w:fill="4BACC6"/>
          </w:tcPr>
          <w:p w:rsidRPr="00323D93" w:rsidR="00211F76" w:rsidP="00211F76" w:rsidRDefault="00211F76" w14:paraId="02849072" w14:textId="77777777">
            <w:pPr>
              <w:spacing w:after="0" w:line="240" w:lineRule="auto"/>
              <w:jc w:val="center"/>
              <w:rPr>
                <w:rFonts w:ascii="Arial" w:hAnsi="Arial" w:eastAsia="Times New Roman" w:cs="Arial"/>
                <w:b/>
                <w:bCs/>
                <w:color w:val="FFFFFF"/>
                <w:sz w:val="20"/>
                <w:szCs w:val="20"/>
                <w:u w:val="single"/>
              </w:rPr>
            </w:pPr>
            <w:r w:rsidRPr="00323D93">
              <w:rPr>
                <w:rFonts w:ascii="Arial" w:hAnsi="Arial" w:eastAsia="Times New Roman" w:cs="Arial"/>
                <w:b/>
                <w:bCs/>
                <w:color w:val="FFFFFF"/>
                <w:sz w:val="20"/>
                <w:szCs w:val="20"/>
                <w:u w:val="single"/>
              </w:rPr>
              <w:t>Tract Over 51% L/MI</w:t>
            </w:r>
          </w:p>
        </w:tc>
      </w:tr>
      <w:tr w:rsidRPr="00323D93" w:rsidR="00211F76" w:rsidTr="00CD0D99" w14:paraId="10160323" w14:textId="77777777">
        <w:trPr>
          <w:trHeight w:val="170"/>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28FBD5A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1,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040C9E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08D7E87"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F3BC6F4"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34C442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940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FE03B67"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1225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853BC27"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2075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F6606E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3050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3824750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40.16%</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69A9AF8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DBEE9A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r>
      <w:tr w:rsidRPr="00323D93" w:rsidR="00211F76" w:rsidTr="00CD0D99" w14:paraId="2BCF5047" w14:textId="77777777">
        <w:trPr>
          <w:trHeight w:val="197"/>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3782FEE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1,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77AA03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6604653"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676C5C7"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58E453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355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E02850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525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1B752E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705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0F492F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1200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61B7750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43.75%</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5611A98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7EA21A1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r>
      <w:tr w:rsidRPr="00323D93" w:rsidR="00211F76" w:rsidTr="00CD0D99" w14:paraId="00EDA75C" w14:textId="77777777">
        <w:trPr>
          <w:trHeight w:val="233"/>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4B47738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2,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F28FE8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2B9691F"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E028934"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256598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580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5B6188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825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5D8475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1085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534B87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1,345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629525A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61.34%</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0ED2B75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44D02A2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r>
      <w:tr w:rsidRPr="00323D93" w:rsidR="00211F76" w:rsidTr="00CD0D99" w14:paraId="1930AC2A" w14:textId="77777777">
        <w:trPr>
          <w:trHeight w:val="260"/>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383A26B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2,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9EB764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9261BAC"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6007C0F"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BA43ED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160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70B8D7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410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13E82C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1,320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62B7B0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1,880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0D1CD0D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21.81%</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58441D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5DDD988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r>
      <w:tr w:rsidRPr="00323D93" w:rsidR="00211F76" w:rsidTr="00CD0D99" w14:paraId="25516D2E" w14:textId="77777777">
        <w:trPr>
          <w:trHeight w:val="260"/>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7B49812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2, Block Group 3</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DED84D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C0E4915"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B1672B6"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73B7FE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105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0A71F0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135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65D51E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370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51B5A4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700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1563A72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19.29%</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B0FFD4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1F734CA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r>
      <w:tr w:rsidRPr="00323D93" w:rsidR="00211F76" w:rsidTr="00CD0D99" w14:paraId="53758181" w14:textId="77777777">
        <w:trPr>
          <w:trHeight w:val="170"/>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3FD6398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2, Block Group 4</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868E1C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AA9856E"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470780C"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9BA28D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290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5BDC10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580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BA4271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925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37C00D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1,345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4737D72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43.12%</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444681E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5FF19F3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r>
      <w:tr w:rsidRPr="00323D93" w:rsidR="00211F76" w:rsidTr="00CD0D99" w14:paraId="206E1F9C" w14:textId="77777777">
        <w:trPr>
          <w:trHeight w:val="197"/>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5DF6161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3,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4BB581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22F2001"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4EBA24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EBE38F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1105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29B4EA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1,585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B24C24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2,125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C3E937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2,335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37ACDD8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67.88%</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7DBB6A0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19DF23D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72846A64" w14:textId="77777777">
        <w:trPr>
          <w:trHeight w:val="233"/>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3BBF61D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3,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81A2BF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F162E13"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0F26C5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F330C7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470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472EAF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780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7AC80C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980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FD5794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1,255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7B9BA0D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62.15%</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1C7558F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5CE2593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30AF6BE7" w14:textId="77777777">
        <w:trPr>
          <w:trHeight w:val="161"/>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5CF2640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4,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9F366E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9C0C03B"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29B765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118D34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930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06F4B6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1130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8AC6FC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1305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A4827F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1,330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0D310087"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84.96%</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BEDE27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60156AC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792AF7B1" w14:textId="77777777">
        <w:trPr>
          <w:trHeight w:val="188"/>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54CB5B8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4,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88419E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EE15E33"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6E78A5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BB408B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635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4BE789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960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A262B1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1,100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54F646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1,130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11CB777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84.96%</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45B3FFD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56A46C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3E3B0E6B" w14:textId="77777777">
        <w:trPr>
          <w:trHeight w:val="224"/>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006D3D9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4, Block Group 3</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9E14A5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2ED95B7"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F95760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3DCED1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345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D8148F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520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3D977B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730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8D15EE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760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33326DB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68.42%</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30A8600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46798047"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29D301CA" w14:textId="77777777">
        <w:trPr>
          <w:trHeight w:val="161"/>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7AA4E48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5,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2E0F29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AC6ED43"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C88E07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A18B0E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750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047DFD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925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0641FD7"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1100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C264CE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1110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2462076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83.33%</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5FC3A69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6FDA6EA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14717149" w14:textId="77777777">
        <w:trPr>
          <w:trHeight w:val="188"/>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1EF85A0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5,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8A3A35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8BE8C7B"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120544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04D07F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1,525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637A46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1,645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FAC336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1,820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C3BF03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1,965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427B885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83.72%</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182A059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1F261E9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211F76" w14:paraId="1476001D" w14:textId="77777777">
        <w:trPr>
          <w:trHeight w:val="247"/>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5F13C7D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5, Block Group 3</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4E6B0D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11BF0BD"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7EF766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89EFF8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905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6BCAB6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1,050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F08DA2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1,125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1A5B91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1,190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4DB9DC8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88.24%</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6E4D091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1C62C6E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211F76" w14:paraId="033B76D6" w14:textId="77777777">
        <w:trPr>
          <w:trHeight w:val="202"/>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0DEF0AB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6,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67BC2F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4F32A16"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FA27C37"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78404F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1,465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EBEB63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1,945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5624BC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2,280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702EB3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2,795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56074EF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69.59%</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716E12D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6D6385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211F76" w14:paraId="50A9BFA6" w14:textId="77777777">
        <w:trPr>
          <w:trHeight w:val="256"/>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1B4AA97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6,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A53024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D8B77C4"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A7EA4D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785E7A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820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713CF1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1,060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DFBDF9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1,210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2BDC64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1,450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256D4A0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73.10%</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6CBD77A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3BA5548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211F76" w14:paraId="16022B22" w14:textId="77777777">
        <w:trPr>
          <w:trHeight w:val="220"/>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1B2A2B0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8,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BC0AE3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9E745B2"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869AAD5"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8CBA02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745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6CC75F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1,125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CD5CD7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1,510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136F35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2,070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4423210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54.35%</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12B71F7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163F508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r>
      <w:tr w:rsidRPr="00323D93" w:rsidR="00211F76" w:rsidTr="00211F76" w14:paraId="0E6C6173" w14:textId="77777777">
        <w:trPr>
          <w:trHeight w:val="175"/>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6C3D7F2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8,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E4315A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EA209C6"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95DB88F"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B7E38A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450AF1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140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65AF82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220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AEFADD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590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67EDD71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23.73%</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A627FF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1FD3764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r>
      <w:tr w:rsidRPr="00323D93" w:rsidR="00211F76" w:rsidTr="00211F76" w14:paraId="48F74F1C" w14:textId="77777777">
        <w:trPr>
          <w:trHeight w:val="229"/>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6EE33757"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9,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DCEF82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81280E1"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8E6FE9E"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0C2ED2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165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110F7B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205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2FCF03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265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C9767A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515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276F97E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39.81%</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7F2361E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0B6F5407"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211F76" w14:paraId="033AE959" w14:textId="77777777">
        <w:trPr>
          <w:trHeight w:val="184"/>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52A2B25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9,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6A0DD9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462D5B6"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EAD5C63"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BBE47C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430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DD4D3B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505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8CC052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570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5EF716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735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6DDF59E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68.71%</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C88138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7B623FE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1D26B888" w14:textId="77777777">
        <w:trPr>
          <w:trHeight w:val="206"/>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0616C03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9, Block Group 3</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1D7EED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3F3AE07"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6682901"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4FA077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600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6FC727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750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DBFEEB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850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736824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885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4130D1C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84.75%</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08ECC66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7E83B0E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2F04691A" w14:textId="77777777">
        <w:trPr>
          <w:trHeight w:val="170"/>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718203C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10,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3D9043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782F6DC"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6454A0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B37101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590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A72339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725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A32799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905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D6F0C6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1,240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483C1CB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58.47%</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4525988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4E585D6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77270FE0" w14:textId="77777777">
        <w:trPr>
          <w:trHeight w:val="179"/>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5740C9C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10,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B8903F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26A41E6"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16ED15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3611C8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655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F90E49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885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49EB53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980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79A236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1,075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4F4D9B0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82.33%</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6F426A7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61FB0CC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211F76" w14:paraId="08AE53FF" w14:textId="77777777">
        <w:trPr>
          <w:trHeight w:val="175"/>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30990AC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11,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A4008D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5A07DBF"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904C740"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75CCB4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415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DF015EC"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655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E85ED7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905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2F44CF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1,395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313A86C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46.95%</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D51B70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32E7FBA9"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r>
      <w:tr w:rsidRPr="00323D93" w:rsidR="00211F76" w:rsidTr="00211F76" w14:paraId="2BCF1083" w14:textId="77777777">
        <w:trPr>
          <w:trHeight w:val="175"/>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22D909B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11,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B55C40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126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44D7278"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17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A2D353E" w14:textId="77777777">
            <w:pPr>
              <w:spacing w:after="0" w:line="240" w:lineRule="auto"/>
              <w:jc w:val="center"/>
              <w:rPr>
                <w:rFonts w:ascii="Arial" w:hAnsi="Arial" w:eastAsia="Times New Roman" w:cs="Arial"/>
                <w:color w:val="000000"/>
                <w:sz w:val="20"/>
                <w:szCs w:val="20"/>
              </w:rPr>
            </w:pP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3606896"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165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4990CE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255</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5E90953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455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BB85722"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770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19F3A77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33.12%</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336D553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046B84B7"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r>
      <w:tr w:rsidRPr="00323D93" w:rsidR="00211F76" w:rsidTr="00211F76" w14:paraId="371A57D4" w14:textId="77777777">
        <w:trPr>
          <w:trHeight w:val="166"/>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41B935A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39, Block Group 1</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94B124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2970" w:type="dxa"/>
            <w:gridSpan w:val="2"/>
            <w:tcBorders>
              <w:top w:val="single" w:color="4BACC6" w:sz="4" w:space="0"/>
              <w:left w:val="nil"/>
              <w:bottom w:val="nil"/>
              <w:right w:val="nil"/>
            </w:tcBorders>
            <w:shd w:val="clear" w:color="auto" w:fill="auto"/>
            <w:noWrap/>
            <w:vAlign w:val="bottom"/>
            <w:hideMark/>
          </w:tcPr>
          <w:p w:rsidRPr="00323D93" w:rsidR="00211F76" w:rsidP="00211F76" w:rsidRDefault="00211F76" w14:paraId="50089E0F"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75A479E4"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250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1E514D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360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0C5E5800"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440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A62B93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865</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5867415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41.62%</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0C41F3A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No</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592D3A17"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5A97C69C" w14:textId="77777777">
        <w:trPr>
          <w:trHeight w:val="143"/>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08A820D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39, Block Group 2</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500436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2970" w:type="dxa"/>
            <w:gridSpan w:val="2"/>
            <w:tcBorders>
              <w:top w:val="single" w:color="4BACC6" w:sz="4" w:space="0"/>
              <w:left w:val="nil"/>
              <w:bottom w:val="nil"/>
              <w:right w:val="nil"/>
            </w:tcBorders>
            <w:shd w:val="clear" w:color="auto" w:fill="auto"/>
            <w:noWrap/>
            <w:vAlign w:val="bottom"/>
            <w:hideMark/>
          </w:tcPr>
          <w:p w:rsidRPr="00323D93" w:rsidR="00211F76" w:rsidP="00211F76" w:rsidRDefault="00211F76" w14:paraId="66278157"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Chittenden</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1499D12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285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BF9AA3E"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300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4050DF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365</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30F6EB0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520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0BA3E50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57.69%</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9971EA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2580D5D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323D93" w:rsidR="00211F76" w:rsidTr="00CD0D99" w14:paraId="627AB09C" w14:textId="77777777">
        <w:trPr>
          <w:trHeight w:val="188"/>
        </w:trPr>
        <w:tc>
          <w:tcPr>
            <w:tcW w:w="3258" w:type="dxa"/>
            <w:tcBorders>
              <w:top w:val="single" w:color="4BACC6" w:sz="4" w:space="0"/>
              <w:left w:val="single" w:color="4BACC6" w:sz="4" w:space="0"/>
              <w:bottom w:val="nil"/>
              <w:right w:val="nil"/>
            </w:tcBorders>
            <w:shd w:val="clear" w:color="auto" w:fill="auto"/>
            <w:noWrap/>
            <w:vAlign w:val="bottom"/>
            <w:hideMark/>
          </w:tcPr>
          <w:p w:rsidRPr="00323D93" w:rsidR="00211F76" w:rsidP="00211F76" w:rsidRDefault="00211F76" w14:paraId="0BAB290A"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Census Tract 39, Block Group 3</w:t>
            </w:r>
          </w:p>
        </w:tc>
        <w:tc>
          <w:tcPr>
            <w:tcW w:w="81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0521A5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VT</w:t>
            </w:r>
          </w:p>
        </w:tc>
        <w:tc>
          <w:tcPr>
            <w:tcW w:w="2970" w:type="dxa"/>
            <w:gridSpan w:val="2"/>
            <w:tcBorders>
              <w:top w:val="single" w:color="4BACC6" w:sz="4" w:space="0"/>
              <w:left w:val="nil"/>
              <w:bottom w:val="nil"/>
              <w:right w:val="nil"/>
            </w:tcBorders>
            <w:shd w:val="clear" w:color="auto" w:fill="auto"/>
            <w:noWrap/>
            <w:vAlign w:val="bottom"/>
            <w:hideMark/>
          </w:tcPr>
          <w:p w:rsidRPr="00323D93" w:rsidR="00211F76" w:rsidP="00211F76" w:rsidRDefault="00211F76" w14:paraId="28C9F7F7" w14:textId="77777777">
            <w:pPr>
              <w:spacing w:after="0" w:line="240" w:lineRule="auto"/>
              <w:rPr>
                <w:rFonts w:ascii="Arial" w:hAnsi="Arial" w:eastAsia="Times New Roman" w:cs="Arial"/>
                <w:color w:val="000000"/>
                <w:sz w:val="20"/>
                <w:szCs w:val="20"/>
              </w:rPr>
            </w:pPr>
            <w:r w:rsidRPr="00323D93">
              <w:rPr>
                <w:rFonts w:ascii="Arial" w:hAnsi="Arial" w:eastAsia="Times New Roman" w:cs="Arial"/>
                <w:color w:val="000000"/>
                <w:sz w:val="20"/>
                <w:szCs w:val="20"/>
              </w:rPr>
              <w:t xml:space="preserve">Chittenden </w:t>
            </w:r>
          </w:p>
        </w:tc>
        <w:tc>
          <w:tcPr>
            <w:tcW w:w="99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673A8F93"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4CA2FA3B"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20</w:t>
            </w:r>
          </w:p>
        </w:tc>
        <w:tc>
          <w:tcPr>
            <w:tcW w:w="135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3667EA1"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20</w:t>
            </w:r>
          </w:p>
        </w:tc>
        <w:tc>
          <w:tcPr>
            <w:tcW w:w="1170" w:type="dxa"/>
            <w:tcBorders>
              <w:top w:val="single" w:color="4BACC6" w:sz="4" w:space="0"/>
              <w:left w:val="nil"/>
              <w:bottom w:val="nil"/>
              <w:right w:val="nil"/>
            </w:tcBorders>
            <w:shd w:val="clear" w:color="auto" w:fill="auto"/>
            <w:noWrap/>
            <w:vAlign w:val="bottom"/>
            <w:hideMark/>
          </w:tcPr>
          <w:p w:rsidRPr="00323D93" w:rsidR="00211F76" w:rsidP="00211F76" w:rsidRDefault="00211F76" w14:paraId="2E14AE1F"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30</w:t>
            </w:r>
          </w:p>
        </w:tc>
        <w:tc>
          <w:tcPr>
            <w:tcW w:w="1170" w:type="dxa"/>
            <w:tcBorders>
              <w:top w:val="single" w:color="4BACC6" w:sz="4" w:space="0"/>
              <w:left w:val="nil"/>
              <w:bottom w:val="nil"/>
              <w:right w:val="single" w:color="4BACC6" w:sz="4" w:space="0"/>
            </w:tcBorders>
            <w:shd w:val="clear" w:color="auto" w:fill="auto"/>
            <w:noWrap/>
            <w:vAlign w:val="bottom"/>
            <w:hideMark/>
          </w:tcPr>
          <w:p w:rsidRPr="00323D93" w:rsidR="00211F76" w:rsidP="00211F76" w:rsidRDefault="00211F76" w14:paraId="6A68A79D"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66.67%</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4BF30F65"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c>
          <w:tcPr>
            <w:tcW w:w="900" w:type="dxa"/>
            <w:tcBorders>
              <w:top w:val="single" w:color="4BACC6" w:sz="4" w:space="0"/>
              <w:left w:val="nil"/>
              <w:bottom w:val="nil"/>
              <w:right w:val="single" w:color="4BACC6" w:sz="4" w:space="0"/>
            </w:tcBorders>
            <w:vAlign w:val="bottom"/>
          </w:tcPr>
          <w:p w:rsidRPr="00323D93" w:rsidR="00211F76" w:rsidP="00211F76" w:rsidRDefault="00211F76" w14:paraId="46A27BF8" w14:textId="77777777">
            <w:pPr>
              <w:spacing w:after="0" w:line="240" w:lineRule="auto"/>
              <w:jc w:val="center"/>
              <w:rPr>
                <w:rFonts w:ascii="Arial" w:hAnsi="Arial" w:eastAsia="Times New Roman" w:cs="Arial"/>
                <w:color w:val="000000"/>
                <w:sz w:val="20"/>
                <w:szCs w:val="20"/>
              </w:rPr>
            </w:pPr>
            <w:r w:rsidRPr="00323D93">
              <w:rPr>
                <w:rFonts w:ascii="Arial" w:hAnsi="Arial" w:eastAsia="Times New Roman" w:cs="Arial"/>
                <w:color w:val="000000"/>
                <w:sz w:val="20"/>
                <w:szCs w:val="20"/>
              </w:rPr>
              <w:t>Yes</w:t>
            </w:r>
          </w:p>
        </w:tc>
      </w:tr>
      <w:tr w:rsidRPr="00ED22E1" w:rsidR="00211F76" w:rsidTr="00211F76" w14:paraId="442F1250" w14:textId="77777777">
        <w:trPr>
          <w:trHeight w:val="41"/>
        </w:trPr>
        <w:tc>
          <w:tcPr>
            <w:tcW w:w="3258" w:type="dxa"/>
            <w:tcBorders>
              <w:top w:val="single" w:color="4BACC6" w:sz="4" w:space="0"/>
              <w:left w:val="single" w:color="4BACC6" w:sz="4" w:space="0"/>
              <w:bottom w:val="single" w:color="4BACC6" w:sz="4" w:space="0"/>
              <w:right w:val="nil"/>
            </w:tcBorders>
            <w:shd w:val="clear" w:color="000000" w:fill="B6DDE8"/>
            <w:noWrap/>
            <w:vAlign w:val="bottom"/>
            <w:hideMark/>
          </w:tcPr>
          <w:p w:rsidRPr="00323D93" w:rsidR="00211F76" w:rsidP="00211F76" w:rsidRDefault="00211F76" w14:paraId="17D63082" w14:textId="77777777">
            <w:pPr>
              <w:spacing w:after="0" w:line="240" w:lineRule="auto"/>
              <w:jc w:val="center"/>
              <w:rPr>
                <w:rFonts w:ascii="Arial" w:hAnsi="Arial" w:eastAsia="Times New Roman" w:cs="Arial"/>
                <w:b/>
                <w:color w:val="000000"/>
                <w:sz w:val="20"/>
                <w:szCs w:val="20"/>
              </w:rPr>
            </w:pPr>
            <w:r w:rsidRPr="00323D93">
              <w:rPr>
                <w:rFonts w:ascii="Arial" w:hAnsi="Arial" w:eastAsia="Times New Roman" w:cs="Arial"/>
                <w:b/>
                <w:color w:val="000000"/>
                <w:sz w:val="20"/>
                <w:szCs w:val="20"/>
              </w:rPr>
              <w:t>CITYWIDE</w:t>
            </w:r>
          </w:p>
        </w:tc>
        <w:tc>
          <w:tcPr>
            <w:tcW w:w="810" w:type="dxa"/>
            <w:tcBorders>
              <w:top w:val="single" w:color="4BACC6" w:sz="4" w:space="0"/>
              <w:left w:val="nil"/>
              <w:bottom w:val="single" w:color="4BACC6" w:sz="4" w:space="0"/>
              <w:right w:val="nil"/>
            </w:tcBorders>
            <w:shd w:val="clear" w:color="000000" w:fill="B6DDE8"/>
            <w:noWrap/>
            <w:vAlign w:val="bottom"/>
            <w:hideMark/>
          </w:tcPr>
          <w:p w:rsidRPr="00323D93" w:rsidR="00211F76" w:rsidP="00211F76" w:rsidRDefault="00211F76" w14:paraId="0F0FAAEB" w14:textId="77777777">
            <w:pPr>
              <w:spacing w:after="0" w:line="240" w:lineRule="auto"/>
              <w:rPr>
                <w:rFonts w:ascii="Arial" w:hAnsi="Arial" w:eastAsia="Times New Roman" w:cs="Arial"/>
                <w:b/>
                <w:color w:val="000000"/>
                <w:sz w:val="20"/>
                <w:szCs w:val="20"/>
              </w:rPr>
            </w:pPr>
            <w:r w:rsidRPr="00323D93">
              <w:rPr>
                <w:rFonts w:ascii="Arial" w:hAnsi="Arial" w:eastAsia="Times New Roman" w:cs="Arial"/>
                <w:b/>
                <w:color w:val="000000"/>
                <w:sz w:val="20"/>
                <w:szCs w:val="20"/>
              </w:rPr>
              <w:t> </w:t>
            </w:r>
          </w:p>
        </w:tc>
        <w:tc>
          <w:tcPr>
            <w:tcW w:w="1260" w:type="dxa"/>
            <w:tcBorders>
              <w:top w:val="single" w:color="4BACC6" w:sz="4" w:space="0"/>
              <w:left w:val="nil"/>
              <w:bottom w:val="single" w:color="4BACC6" w:sz="4" w:space="0"/>
              <w:right w:val="nil"/>
            </w:tcBorders>
            <w:shd w:val="clear" w:color="000000" w:fill="B6DDE8"/>
            <w:noWrap/>
            <w:vAlign w:val="bottom"/>
            <w:hideMark/>
          </w:tcPr>
          <w:p w:rsidRPr="00323D93" w:rsidR="00211F76" w:rsidP="00211F76" w:rsidRDefault="00211F76" w14:paraId="671CBBFB" w14:textId="77777777">
            <w:pPr>
              <w:spacing w:after="0" w:line="240" w:lineRule="auto"/>
              <w:rPr>
                <w:rFonts w:ascii="Arial" w:hAnsi="Arial" w:eastAsia="Times New Roman" w:cs="Arial"/>
                <w:b/>
                <w:color w:val="000000"/>
                <w:sz w:val="20"/>
                <w:szCs w:val="20"/>
              </w:rPr>
            </w:pPr>
            <w:r w:rsidRPr="00323D93">
              <w:rPr>
                <w:rFonts w:ascii="Arial" w:hAnsi="Arial" w:eastAsia="Times New Roman" w:cs="Arial"/>
                <w:b/>
                <w:color w:val="000000"/>
                <w:sz w:val="20"/>
                <w:szCs w:val="20"/>
              </w:rPr>
              <w:t> </w:t>
            </w:r>
          </w:p>
        </w:tc>
        <w:tc>
          <w:tcPr>
            <w:tcW w:w="1710" w:type="dxa"/>
            <w:tcBorders>
              <w:top w:val="single" w:color="4BACC6" w:sz="4" w:space="0"/>
              <w:left w:val="nil"/>
              <w:bottom w:val="single" w:color="4BACC6" w:sz="4" w:space="0"/>
              <w:right w:val="nil"/>
            </w:tcBorders>
            <w:shd w:val="clear" w:color="000000" w:fill="B6DDE8"/>
            <w:noWrap/>
            <w:vAlign w:val="bottom"/>
            <w:hideMark/>
          </w:tcPr>
          <w:p w:rsidRPr="00323D93" w:rsidR="00211F76" w:rsidP="00211F76" w:rsidRDefault="00211F76" w14:paraId="54647861" w14:textId="77777777">
            <w:pPr>
              <w:spacing w:after="0" w:line="240" w:lineRule="auto"/>
              <w:rPr>
                <w:rFonts w:ascii="Arial" w:hAnsi="Arial" w:eastAsia="Times New Roman" w:cs="Arial"/>
                <w:b/>
                <w:color w:val="000000"/>
                <w:sz w:val="20"/>
                <w:szCs w:val="20"/>
              </w:rPr>
            </w:pPr>
            <w:r w:rsidRPr="00323D93">
              <w:rPr>
                <w:rFonts w:ascii="Arial" w:hAnsi="Arial" w:eastAsia="Times New Roman" w:cs="Arial"/>
                <w:b/>
                <w:color w:val="000000"/>
                <w:sz w:val="20"/>
                <w:szCs w:val="20"/>
              </w:rPr>
              <w:t> </w:t>
            </w:r>
          </w:p>
        </w:tc>
        <w:tc>
          <w:tcPr>
            <w:tcW w:w="990" w:type="dxa"/>
            <w:tcBorders>
              <w:top w:val="single" w:color="4BACC6" w:sz="4" w:space="0"/>
              <w:left w:val="nil"/>
              <w:bottom w:val="single" w:color="4BACC6" w:sz="4" w:space="0"/>
              <w:right w:val="nil"/>
            </w:tcBorders>
            <w:shd w:val="clear" w:color="000000" w:fill="B6DDE8"/>
            <w:noWrap/>
            <w:vAlign w:val="bottom"/>
            <w:hideMark/>
          </w:tcPr>
          <w:p w:rsidRPr="00323D93" w:rsidR="00211F76" w:rsidP="00211F76" w:rsidRDefault="00211F76" w14:paraId="2D6B062B" w14:textId="77777777">
            <w:pPr>
              <w:spacing w:after="0" w:line="240" w:lineRule="auto"/>
              <w:jc w:val="center"/>
              <w:rPr>
                <w:rFonts w:ascii="Arial" w:hAnsi="Arial" w:eastAsia="Times New Roman" w:cs="Arial"/>
                <w:b/>
                <w:color w:val="000000"/>
                <w:sz w:val="20"/>
                <w:szCs w:val="20"/>
              </w:rPr>
            </w:pPr>
            <w:r w:rsidRPr="00323D93">
              <w:rPr>
                <w:rFonts w:ascii="Arial" w:hAnsi="Arial" w:eastAsia="Times New Roman" w:cs="Arial"/>
                <w:b/>
                <w:color w:val="000000"/>
                <w:sz w:val="20"/>
                <w:szCs w:val="20"/>
              </w:rPr>
              <w:t>15,770</w:t>
            </w:r>
          </w:p>
        </w:tc>
        <w:tc>
          <w:tcPr>
            <w:tcW w:w="1170" w:type="dxa"/>
            <w:tcBorders>
              <w:top w:val="single" w:color="4BACC6" w:sz="4" w:space="0"/>
              <w:left w:val="nil"/>
              <w:bottom w:val="single" w:color="4BACC6" w:sz="4" w:space="0"/>
              <w:right w:val="nil"/>
            </w:tcBorders>
            <w:shd w:val="clear" w:color="000000" w:fill="B6DDE8"/>
            <w:noWrap/>
            <w:vAlign w:val="bottom"/>
            <w:hideMark/>
          </w:tcPr>
          <w:p w:rsidRPr="00323D93" w:rsidR="00211F76" w:rsidP="00211F76" w:rsidRDefault="00211F76" w14:paraId="7DD86CCB" w14:textId="77777777">
            <w:pPr>
              <w:spacing w:after="0" w:line="240" w:lineRule="auto"/>
              <w:jc w:val="center"/>
              <w:rPr>
                <w:rFonts w:ascii="Arial" w:hAnsi="Arial" w:eastAsia="Times New Roman" w:cs="Arial"/>
                <w:b/>
                <w:color w:val="000000"/>
                <w:sz w:val="20"/>
                <w:szCs w:val="20"/>
              </w:rPr>
            </w:pPr>
            <w:r w:rsidRPr="00323D93">
              <w:rPr>
                <w:rFonts w:ascii="Arial" w:hAnsi="Arial" w:eastAsia="Times New Roman" w:cs="Arial"/>
                <w:b/>
                <w:color w:val="000000"/>
                <w:sz w:val="20"/>
                <w:szCs w:val="20"/>
              </w:rPr>
              <w:t>21,225</w:t>
            </w:r>
          </w:p>
        </w:tc>
        <w:tc>
          <w:tcPr>
            <w:tcW w:w="1350" w:type="dxa"/>
            <w:tcBorders>
              <w:top w:val="single" w:color="4BACC6" w:sz="4" w:space="0"/>
              <w:left w:val="nil"/>
              <w:bottom w:val="single" w:color="4BACC6" w:sz="4" w:space="0"/>
              <w:right w:val="nil"/>
            </w:tcBorders>
            <w:shd w:val="clear" w:color="000000" w:fill="B6DDE8"/>
            <w:noWrap/>
            <w:vAlign w:val="bottom"/>
            <w:hideMark/>
          </w:tcPr>
          <w:p w:rsidRPr="00323D93" w:rsidR="00211F76" w:rsidP="00211F76" w:rsidRDefault="00211F76" w14:paraId="72D2AB64" w14:textId="77777777">
            <w:pPr>
              <w:spacing w:after="0" w:line="240" w:lineRule="auto"/>
              <w:jc w:val="center"/>
              <w:rPr>
                <w:rFonts w:ascii="Arial" w:hAnsi="Arial" w:eastAsia="Times New Roman" w:cs="Arial"/>
                <w:b/>
                <w:color w:val="000000"/>
                <w:sz w:val="20"/>
                <w:szCs w:val="20"/>
              </w:rPr>
            </w:pPr>
            <w:r w:rsidRPr="00323D93">
              <w:rPr>
                <w:rFonts w:ascii="Arial" w:hAnsi="Arial" w:eastAsia="Times New Roman" w:cs="Arial"/>
                <w:b/>
                <w:color w:val="000000"/>
                <w:sz w:val="20"/>
                <w:szCs w:val="20"/>
              </w:rPr>
              <w:t>27,740</w:t>
            </w:r>
          </w:p>
        </w:tc>
        <w:tc>
          <w:tcPr>
            <w:tcW w:w="1170" w:type="dxa"/>
            <w:tcBorders>
              <w:top w:val="single" w:color="4BACC6" w:sz="4" w:space="0"/>
              <w:left w:val="nil"/>
              <w:bottom w:val="single" w:color="4BACC6" w:sz="4" w:space="0"/>
              <w:right w:val="nil"/>
            </w:tcBorders>
            <w:shd w:val="clear" w:color="000000" w:fill="B6DDE8"/>
            <w:noWrap/>
            <w:vAlign w:val="bottom"/>
            <w:hideMark/>
          </w:tcPr>
          <w:p w:rsidRPr="00323D93" w:rsidR="00211F76" w:rsidP="00211F76" w:rsidRDefault="00211F76" w14:paraId="17062114" w14:textId="77777777">
            <w:pPr>
              <w:spacing w:after="0" w:line="240" w:lineRule="auto"/>
              <w:jc w:val="center"/>
              <w:rPr>
                <w:rFonts w:ascii="Arial" w:hAnsi="Arial" w:eastAsia="Times New Roman" w:cs="Arial"/>
                <w:b/>
                <w:color w:val="000000"/>
                <w:sz w:val="20"/>
                <w:szCs w:val="20"/>
              </w:rPr>
            </w:pPr>
            <w:r w:rsidRPr="00323D93">
              <w:rPr>
                <w:rFonts w:ascii="Arial" w:hAnsi="Arial" w:eastAsia="Times New Roman" w:cs="Arial"/>
                <w:b/>
                <w:color w:val="000000"/>
                <w:sz w:val="20"/>
                <w:szCs w:val="20"/>
              </w:rPr>
              <w:t>35,530</w:t>
            </w:r>
          </w:p>
        </w:tc>
        <w:tc>
          <w:tcPr>
            <w:tcW w:w="1170" w:type="dxa"/>
            <w:tcBorders>
              <w:top w:val="single" w:color="4BACC6" w:sz="4" w:space="0"/>
              <w:left w:val="nil"/>
              <w:bottom w:val="single" w:color="4BACC6" w:sz="4" w:space="0"/>
              <w:right w:val="single" w:color="4BACC6" w:sz="4" w:space="0"/>
            </w:tcBorders>
            <w:shd w:val="clear" w:color="000000" w:fill="B6DDE8"/>
            <w:noWrap/>
            <w:vAlign w:val="bottom"/>
            <w:hideMark/>
          </w:tcPr>
          <w:p w:rsidRPr="00323D93" w:rsidR="00211F76" w:rsidP="00211F76" w:rsidRDefault="00211F76" w14:paraId="612FB895" w14:textId="77777777">
            <w:pPr>
              <w:spacing w:after="0" w:line="240" w:lineRule="auto"/>
              <w:jc w:val="center"/>
              <w:rPr>
                <w:rFonts w:ascii="Arial" w:hAnsi="Arial" w:eastAsia="Times New Roman" w:cs="Arial"/>
                <w:b/>
                <w:color w:val="000000"/>
                <w:sz w:val="20"/>
                <w:szCs w:val="20"/>
              </w:rPr>
            </w:pPr>
            <w:r w:rsidRPr="00323D93">
              <w:rPr>
                <w:rFonts w:ascii="Arial" w:hAnsi="Arial" w:eastAsia="Times New Roman" w:cs="Arial"/>
                <w:b/>
                <w:color w:val="000000"/>
                <w:sz w:val="20"/>
                <w:szCs w:val="20"/>
              </w:rPr>
              <w:t>59.74%</w:t>
            </w:r>
          </w:p>
        </w:tc>
        <w:tc>
          <w:tcPr>
            <w:tcW w:w="900" w:type="dxa"/>
            <w:tcBorders>
              <w:top w:val="single" w:color="4BACC6" w:sz="4" w:space="0"/>
              <w:left w:val="nil"/>
              <w:bottom w:val="single" w:color="4BACC6" w:sz="4" w:space="0"/>
              <w:right w:val="single" w:color="4BACC6" w:sz="4" w:space="0"/>
            </w:tcBorders>
            <w:shd w:val="clear" w:color="000000" w:fill="B6DDE8"/>
            <w:vAlign w:val="bottom"/>
          </w:tcPr>
          <w:p w:rsidRPr="00323D93" w:rsidR="00211F76" w:rsidP="00211F76" w:rsidRDefault="00211F76" w14:paraId="7EC90E6E" w14:textId="77777777">
            <w:pPr>
              <w:spacing w:after="0" w:line="240" w:lineRule="auto"/>
              <w:jc w:val="center"/>
              <w:rPr>
                <w:rFonts w:ascii="Arial" w:hAnsi="Arial" w:eastAsia="Times New Roman" w:cs="Arial"/>
                <w:b/>
                <w:color w:val="000000"/>
                <w:sz w:val="20"/>
                <w:szCs w:val="20"/>
              </w:rPr>
            </w:pPr>
            <w:r w:rsidRPr="00323D93">
              <w:rPr>
                <w:rFonts w:ascii="Arial" w:hAnsi="Arial" w:eastAsia="Times New Roman" w:cs="Arial"/>
                <w:b/>
                <w:color w:val="000000"/>
                <w:sz w:val="20"/>
                <w:szCs w:val="20"/>
              </w:rPr>
              <w:t>Yes</w:t>
            </w:r>
          </w:p>
        </w:tc>
        <w:tc>
          <w:tcPr>
            <w:tcW w:w="900" w:type="dxa"/>
            <w:tcBorders>
              <w:top w:val="single" w:color="4BACC6" w:sz="4" w:space="0"/>
              <w:left w:val="nil"/>
              <w:bottom w:val="single" w:color="4BACC6" w:sz="4" w:space="0"/>
              <w:right w:val="single" w:color="4BACC6" w:sz="4" w:space="0"/>
            </w:tcBorders>
            <w:shd w:val="clear" w:color="000000" w:fill="B6DDE8"/>
            <w:vAlign w:val="bottom"/>
          </w:tcPr>
          <w:p w:rsidRPr="00323D93" w:rsidR="00211F76" w:rsidP="00211F76" w:rsidRDefault="00211F76" w14:paraId="023B9E28" w14:textId="77777777">
            <w:pPr>
              <w:spacing w:after="0" w:line="240" w:lineRule="auto"/>
              <w:jc w:val="center"/>
              <w:rPr>
                <w:rFonts w:ascii="Arial" w:hAnsi="Arial" w:eastAsia="Times New Roman" w:cs="Arial"/>
                <w:b/>
                <w:color w:val="000000"/>
                <w:sz w:val="20"/>
                <w:szCs w:val="20"/>
              </w:rPr>
            </w:pPr>
            <w:r w:rsidRPr="00323D93">
              <w:rPr>
                <w:rFonts w:ascii="Arial" w:hAnsi="Arial" w:eastAsia="Times New Roman" w:cs="Arial"/>
                <w:b/>
                <w:color w:val="000000"/>
                <w:sz w:val="20"/>
                <w:szCs w:val="20"/>
              </w:rPr>
              <w:t>Yes</w:t>
            </w:r>
          </w:p>
        </w:tc>
      </w:tr>
    </w:tbl>
    <w:p w:rsidRPr="00ED22E1" w:rsidR="00211F76" w:rsidRDefault="00211F76" w14:paraId="5CDE603A" w14:textId="77777777">
      <w:pPr>
        <w:spacing w:after="0" w:line="240" w:lineRule="auto"/>
        <w:rPr>
          <w:highlight w:val="lightGray"/>
        </w:rPr>
      </w:pPr>
    </w:p>
    <w:p w:rsidRPr="00ED22E1" w:rsidR="00CD0D99" w:rsidRDefault="00CD0D99" w14:paraId="5A1E87C1" w14:textId="77777777">
      <w:pPr>
        <w:spacing w:after="0" w:line="240" w:lineRule="auto"/>
        <w:rPr>
          <w:highlight w:val="lightGray"/>
        </w:rPr>
      </w:pPr>
    </w:p>
    <w:p w:rsidRPr="00ED22E1" w:rsidR="00CD0D99" w:rsidRDefault="00CD0D99" w14:paraId="604AEC86" w14:textId="77777777">
      <w:pPr>
        <w:spacing w:after="0" w:line="240" w:lineRule="auto"/>
        <w:rPr>
          <w:highlight w:val="lightGray"/>
        </w:rPr>
      </w:pPr>
    </w:p>
    <w:p w:rsidRPr="00ED22E1" w:rsidR="00CD0D99" w:rsidRDefault="00CD0D99" w14:paraId="3560C2B9" w14:textId="77777777">
      <w:pPr>
        <w:spacing w:after="0" w:line="240" w:lineRule="auto"/>
        <w:rPr>
          <w:highlight w:val="lightGray"/>
        </w:rPr>
      </w:pPr>
    </w:p>
    <w:p w:rsidRPr="00ED22E1" w:rsidR="00CD0D99" w:rsidRDefault="00CD0D99" w14:paraId="5C1AF837" w14:textId="77777777">
      <w:pPr>
        <w:spacing w:after="0" w:line="240" w:lineRule="auto"/>
        <w:rPr>
          <w:highlight w:val="lightGray"/>
        </w:rPr>
      </w:pPr>
    </w:p>
    <w:p w:rsidRPr="00ED22E1" w:rsidR="00CD0D99" w:rsidRDefault="00CD0D99" w14:paraId="11B13AFD" w14:textId="77777777">
      <w:pPr>
        <w:spacing w:after="0" w:line="240" w:lineRule="auto"/>
        <w:rPr>
          <w:highlight w:val="lightGray"/>
        </w:rPr>
        <w:sectPr w:rsidRPr="00ED22E1" w:rsidR="00CD0D99" w:rsidSect="00B729FE">
          <w:pgSz w:w="15840" w:h="12240" w:orient="landscape" w:code="1"/>
          <w:pgMar w:top="1440" w:right="1440" w:bottom="1440" w:left="1440" w:header="720" w:footer="720" w:gutter="0"/>
          <w:cols w:space="720"/>
          <w:docGrid w:linePitch="360"/>
        </w:sectPr>
      </w:pPr>
    </w:p>
    <w:p w:rsidRPr="00045791" w:rsidR="00045791" w:rsidP="00045791" w:rsidRDefault="36607F4A" w14:paraId="03C7AAA2" w14:textId="193B0753">
      <w:pPr>
        <w:spacing w:after="0" w:line="240" w:lineRule="auto"/>
        <w:rPr>
          <w:sz w:val="2"/>
          <w:szCs w:val="2"/>
        </w:rPr>
      </w:pPr>
      <w:r>
        <w:rPr>
          <w:noProof/>
        </w:rPr>
        <w:lastRenderedPageBreak/>
        <w:drawing>
          <wp:inline distT="0" distB="0" distL="0" distR="0" wp14:anchorId="60F54C5D" wp14:editId="6A23E65E">
            <wp:extent cx="5943600" cy="7687951"/>
            <wp:effectExtent l="0" t="0" r="0" b="8255"/>
            <wp:docPr id="5" name="Picture 5" descr="R:\Admin\CDBG\2015 CDBG\Action Plan\Census Tract information\CensusTract201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8">
                      <a:extLst>
                        <a:ext uri="{28A0092B-C50C-407E-A947-70E740481C1C}">
                          <a14:useLocalDpi xmlns:a14="http://schemas.microsoft.com/office/drawing/2010/main" val="0"/>
                        </a:ext>
                      </a:extLst>
                    </a:blip>
                    <a:stretch>
                      <a:fillRect/>
                    </a:stretch>
                  </pic:blipFill>
                  <pic:spPr>
                    <a:xfrm>
                      <a:off x="0" y="0"/>
                      <a:ext cx="5943600" cy="7687951"/>
                    </a:xfrm>
                    <a:prstGeom prst="rect">
                      <a:avLst/>
                    </a:prstGeom>
                  </pic:spPr>
                </pic:pic>
              </a:graphicData>
            </a:graphic>
          </wp:inline>
        </w:drawing>
      </w:r>
    </w:p>
    <w:sectPr w:rsidRPr="00045791" w:rsidR="00045791" w:rsidSect="0067748D">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7B5" w:rsidRDefault="004367B5" w14:paraId="2441C11B" w14:textId="77777777">
      <w:r>
        <w:separator/>
      </w:r>
    </w:p>
  </w:endnote>
  <w:endnote w:type="continuationSeparator" w:id="0">
    <w:p w:rsidR="004367B5" w:rsidRDefault="004367B5" w14:paraId="6FD8405A" w14:textId="77777777">
      <w:r>
        <w:continuationSeparator/>
      </w:r>
    </w:p>
  </w:endnote>
  <w:endnote w:type="continuationNotice" w:id="1">
    <w:p w:rsidR="004367B5" w:rsidRDefault="004367B5" w14:paraId="175816B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Layout w:type="fixed"/>
      <w:tblLook w:val="01E0" w:firstRow="1" w:lastRow="1" w:firstColumn="1" w:lastColumn="1" w:noHBand="0" w:noVBand="0"/>
    </w:tblPr>
    <w:tblGrid>
      <w:gridCol w:w="828"/>
      <w:gridCol w:w="7976"/>
      <w:gridCol w:w="772"/>
    </w:tblGrid>
    <w:tr w:rsidR="004367B5" w:rsidTr="004422F8" w14:paraId="381A5EA8" w14:textId="77777777">
      <w:tc>
        <w:tcPr>
          <w:tcW w:w="828" w:type="dxa"/>
        </w:tcPr>
        <w:p w:rsidR="004367B5" w:rsidRDefault="004367B5" w14:paraId="1129A98A" w14:textId="77777777">
          <w:pPr>
            <w:pStyle w:val="Footer"/>
            <w:spacing w:after="0" w:line="240" w:lineRule="auto"/>
            <w:jc w:val="center"/>
          </w:pPr>
        </w:p>
      </w:tc>
      <w:tc>
        <w:tcPr>
          <w:tcW w:w="7976" w:type="dxa"/>
        </w:tcPr>
        <w:p w:rsidR="004367B5" w:rsidRDefault="004367B5" w14:paraId="54418C7C" w14:textId="77777777">
          <w:pPr>
            <w:pStyle w:val="Footer"/>
            <w:spacing w:after="0" w:line="240" w:lineRule="auto"/>
            <w:jc w:val="center"/>
          </w:pPr>
        </w:p>
        <w:p w:rsidRPr="003A0E00" w:rsidR="004367B5" w:rsidP="003A0E00" w:rsidRDefault="004367B5" w14:paraId="3C5EC945" w14:textId="6B9EDCD8">
          <w:pPr>
            <w:pStyle w:val="Footer"/>
            <w:spacing w:after="0" w:line="240" w:lineRule="auto"/>
            <w:jc w:val="center"/>
          </w:pPr>
          <w:r>
            <w:t>2021 Annual Action Plan – Minor Amendment April 2022</w:t>
          </w:r>
        </w:p>
      </w:tc>
      <w:tc>
        <w:tcPr>
          <w:tcW w:w="772" w:type="dxa"/>
        </w:tcPr>
        <w:p w:rsidR="004367B5" w:rsidRDefault="004367B5" w14:paraId="1B5C1EE8" w14:textId="281DD38B">
          <w:pPr>
            <w:pStyle w:val="Footer"/>
            <w:spacing w:after="0" w:line="240" w:lineRule="auto"/>
            <w:jc w:val="right"/>
          </w:pPr>
          <w:r>
            <w:fldChar w:fldCharType="begin"/>
          </w:r>
          <w:r>
            <w:instrText>page</w:instrText>
          </w:r>
          <w:r>
            <w:fldChar w:fldCharType="separate"/>
          </w:r>
          <w:r>
            <w:rPr>
              <w:noProof/>
            </w:rPr>
            <w:t>3</w:t>
          </w:r>
          <w:r>
            <w:fldChar w:fldCharType="end"/>
          </w:r>
        </w:p>
      </w:tc>
    </w:tr>
  </w:tbl>
  <w:p w:rsidR="004367B5" w:rsidP="004422F8" w:rsidRDefault="004367B5" w14:paraId="66AE2B98" w14:textId="03905904">
    <w:pPr>
      <w:pStyle w:val="Footer"/>
      <w:spacing w:before="120" w:after="0"/>
      <w:rPr>
        <w:rFonts w:asciiTheme="minorHAnsi" w:hAnsiTheme="minorHAnsi"/>
        <w:b/>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4367B5" w14:paraId="0EC4D767" w14:textId="77777777">
      <w:trPr>
        <w:jc w:val="center"/>
      </w:trPr>
      <w:tc>
        <w:tcPr>
          <w:tcW w:w="828" w:type="dxa"/>
        </w:tcPr>
        <w:p w:rsidR="004367B5" w:rsidRDefault="004367B5" w14:paraId="0E6A62D3" w14:textId="77777777">
          <w:pPr>
            <w:pStyle w:val="Footer"/>
            <w:spacing w:after="0" w:line="240" w:lineRule="auto"/>
            <w:jc w:val="center"/>
          </w:pPr>
        </w:p>
      </w:tc>
      <w:tc>
        <w:tcPr>
          <w:tcW w:w="7976" w:type="dxa"/>
        </w:tcPr>
        <w:p w:rsidR="004367B5" w:rsidRDefault="004367B5" w14:paraId="225E0083" w14:textId="77777777">
          <w:pPr>
            <w:pStyle w:val="Footer"/>
            <w:spacing w:after="0" w:line="240" w:lineRule="auto"/>
            <w:jc w:val="center"/>
          </w:pPr>
          <w:r>
            <w:t>Annual Action Plan</w:t>
          </w:r>
        </w:p>
        <w:p w:rsidRPr="005B0631" w:rsidR="004367B5" w:rsidP="00F37637" w:rsidRDefault="004367B5" w14:paraId="0B465C7D" w14:textId="6D6DD714">
          <w:pPr>
            <w:pStyle w:val="Footer"/>
            <w:spacing w:after="0" w:line="240" w:lineRule="auto"/>
            <w:jc w:val="center"/>
          </w:pPr>
          <w:r>
            <w:t>2021</w:t>
          </w:r>
        </w:p>
      </w:tc>
      <w:tc>
        <w:tcPr>
          <w:tcW w:w="772" w:type="dxa"/>
        </w:tcPr>
        <w:p w:rsidR="004367B5" w:rsidRDefault="004367B5" w14:paraId="2556D20C" w14:textId="7AC731DE">
          <w:pPr>
            <w:pStyle w:val="Footer"/>
            <w:spacing w:after="0" w:line="240" w:lineRule="auto"/>
            <w:jc w:val="right"/>
          </w:pPr>
          <w:r>
            <w:fldChar w:fldCharType="begin"/>
          </w:r>
          <w:r>
            <w:instrText>page</w:instrText>
          </w:r>
          <w:r>
            <w:fldChar w:fldCharType="separate"/>
          </w:r>
          <w:r>
            <w:rPr>
              <w:noProof/>
            </w:rPr>
            <w:t>77</w:t>
          </w:r>
          <w:r>
            <w:fldChar w:fldCharType="end"/>
          </w:r>
        </w:p>
      </w:tc>
    </w:tr>
  </w:tbl>
  <w:p w:rsidR="004367B5" w:rsidRDefault="004367B5" w14:paraId="30883102" w14:textId="29E11C58">
    <w:pPr>
      <w:pStyle w:val="Footer"/>
      <w:spacing w:before="120" w:after="0"/>
      <w:rPr>
        <w:rFonts w:asciiTheme="minorHAnsi" w:hAnsiTheme="minorHAnsi"/>
        <w:b/>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B5" w:rsidRDefault="004367B5" w14:paraId="10BF594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B5" w:rsidRDefault="004367B5" w14:paraId="7ECCEC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7B5" w:rsidRDefault="004367B5" w14:paraId="328818DC" w14:textId="77777777">
      <w:r>
        <w:separator/>
      </w:r>
    </w:p>
  </w:footnote>
  <w:footnote w:type="continuationSeparator" w:id="0">
    <w:p w:rsidR="004367B5" w:rsidRDefault="004367B5" w14:paraId="52EB47AB" w14:textId="77777777">
      <w:r>
        <w:continuationSeparator/>
      </w:r>
    </w:p>
  </w:footnote>
  <w:footnote w:type="continuationNotice" w:id="1">
    <w:p w:rsidR="004367B5" w:rsidRDefault="004367B5" w14:paraId="745FFD7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4367B5" w:rsidTr="42793240" w14:paraId="24C8E8D5" w14:textId="77777777">
      <w:tc>
        <w:tcPr>
          <w:tcW w:w="3120" w:type="dxa"/>
        </w:tcPr>
        <w:p w:rsidR="004367B5" w:rsidP="42793240" w:rsidRDefault="004367B5" w14:paraId="4EBCA64A" w14:textId="40484F54">
          <w:pPr>
            <w:pStyle w:val="Header"/>
            <w:ind w:left="-115"/>
          </w:pPr>
        </w:p>
      </w:tc>
      <w:tc>
        <w:tcPr>
          <w:tcW w:w="3120" w:type="dxa"/>
        </w:tcPr>
        <w:p w:rsidR="004367B5" w:rsidP="42793240" w:rsidRDefault="004367B5" w14:paraId="3AC6635C" w14:textId="60D9961B">
          <w:pPr>
            <w:pStyle w:val="Header"/>
            <w:jc w:val="center"/>
          </w:pPr>
        </w:p>
      </w:tc>
      <w:tc>
        <w:tcPr>
          <w:tcW w:w="3120" w:type="dxa"/>
        </w:tcPr>
        <w:p w:rsidR="004367B5" w:rsidP="42793240" w:rsidRDefault="004367B5" w14:paraId="69543C9E" w14:textId="510B83FE">
          <w:pPr>
            <w:pStyle w:val="Header"/>
            <w:ind w:right="-115"/>
            <w:jc w:val="right"/>
          </w:pPr>
        </w:p>
      </w:tc>
    </w:tr>
  </w:tbl>
  <w:p w:rsidR="004367B5" w:rsidRDefault="004367B5" w14:paraId="735F5134" w14:textId="38F4E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4367B5" w:rsidTr="42793240" w14:paraId="0C59DE2B" w14:textId="77777777">
      <w:tc>
        <w:tcPr>
          <w:tcW w:w="4320" w:type="dxa"/>
        </w:tcPr>
        <w:p w:rsidR="004367B5" w:rsidP="42793240" w:rsidRDefault="004367B5" w14:paraId="64236793" w14:textId="770DBC3F">
          <w:pPr>
            <w:pStyle w:val="Header"/>
            <w:ind w:left="-115"/>
          </w:pPr>
        </w:p>
      </w:tc>
      <w:tc>
        <w:tcPr>
          <w:tcW w:w="4320" w:type="dxa"/>
        </w:tcPr>
        <w:p w:rsidR="004367B5" w:rsidP="42793240" w:rsidRDefault="004367B5" w14:paraId="2CFDB6FD" w14:textId="0A34F007">
          <w:pPr>
            <w:pStyle w:val="Header"/>
            <w:jc w:val="center"/>
          </w:pPr>
        </w:p>
      </w:tc>
      <w:tc>
        <w:tcPr>
          <w:tcW w:w="4320" w:type="dxa"/>
        </w:tcPr>
        <w:p w:rsidR="004367B5" w:rsidP="42793240" w:rsidRDefault="004367B5" w14:paraId="577FA5BC" w14:textId="702EA548">
          <w:pPr>
            <w:pStyle w:val="Header"/>
            <w:ind w:right="-115"/>
            <w:jc w:val="right"/>
          </w:pPr>
        </w:p>
      </w:tc>
    </w:tr>
  </w:tbl>
  <w:p w:rsidR="004367B5" w:rsidRDefault="004367B5" w14:paraId="124A6BB1" w14:textId="4E3B0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4367B5" w:rsidTr="42793240" w14:paraId="35BD9BDA" w14:textId="77777777">
      <w:tc>
        <w:tcPr>
          <w:tcW w:w="4320" w:type="dxa"/>
        </w:tcPr>
        <w:p w:rsidR="004367B5" w:rsidP="42793240" w:rsidRDefault="004367B5" w14:paraId="176228DC" w14:textId="0F58305B">
          <w:pPr>
            <w:pStyle w:val="Header"/>
            <w:ind w:left="-115"/>
          </w:pPr>
        </w:p>
      </w:tc>
      <w:tc>
        <w:tcPr>
          <w:tcW w:w="4320" w:type="dxa"/>
        </w:tcPr>
        <w:p w:rsidR="004367B5" w:rsidP="42793240" w:rsidRDefault="004367B5" w14:paraId="58F51937" w14:textId="230D376F">
          <w:pPr>
            <w:pStyle w:val="Header"/>
            <w:jc w:val="center"/>
          </w:pPr>
        </w:p>
      </w:tc>
      <w:tc>
        <w:tcPr>
          <w:tcW w:w="4320" w:type="dxa"/>
        </w:tcPr>
        <w:p w:rsidR="004367B5" w:rsidP="42793240" w:rsidRDefault="004367B5" w14:paraId="5133E0AD" w14:textId="22B7900B">
          <w:pPr>
            <w:pStyle w:val="Header"/>
            <w:ind w:right="-115"/>
            <w:jc w:val="right"/>
          </w:pPr>
        </w:p>
      </w:tc>
    </w:tr>
  </w:tbl>
  <w:p w:rsidR="004367B5" w:rsidRDefault="004367B5" w14:paraId="70601D5E" w14:textId="49A7C0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4367B5" w:rsidTr="42793240" w14:paraId="386E8EA7" w14:textId="77777777">
      <w:tc>
        <w:tcPr>
          <w:tcW w:w="4320" w:type="dxa"/>
        </w:tcPr>
        <w:p w:rsidR="004367B5" w:rsidP="42793240" w:rsidRDefault="004367B5" w14:paraId="3769075B" w14:textId="2B0B8D48">
          <w:pPr>
            <w:pStyle w:val="Header"/>
            <w:ind w:left="-115"/>
          </w:pPr>
        </w:p>
      </w:tc>
      <w:tc>
        <w:tcPr>
          <w:tcW w:w="4320" w:type="dxa"/>
        </w:tcPr>
        <w:p w:rsidR="004367B5" w:rsidP="42793240" w:rsidRDefault="004367B5" w14:paraId="512603E1" w14:textId="40EC2037">
          <w:pPr>
            <w:pStyle w:val="Header"/>
            <w:jc w:val="center"/>
          </w:pPr>
        </w:p>
      </w:tc>
      <w:tc>
        <w:tcPr>
          <w:tcW w:w="4320" w:type="dxa"/>
        </w:tcPr>
        <w:p w:rsidR="004367B5" w:rsidP="42793240" w:rsidRDefault="004367B5" w14:paraId="4B9298D8" w14:textId="0FF1E14A">
          <w:pPr>
            <w:pStyle w:val="Header"/>
            <w:ind w:right="-115"/>
            <w:jc w:val="right"/>
          </w:pPr>
        </w:p>
      </w:tc>
    </w:tr>
  </w:tbl>
  <w:p w:rsidR="004367B5" w:rsidRDefault="004367B5" w14:paraId="5F9D957D" w14:textId="04B66E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4367B5" w:rsidTr="42793240" w14:paraId="5EC4D8C9" w14:textId="77777777">
      <w:tc>
        <w:tcPr>
          <w:tcW w:w="3120" w:type="dxa"/>
        </w:tcPr>
        <w:p w:rsidR="004367B5" w:rsidP="42793240" w:rsidRDefault="004367B5" w14:paraId="2FE9A59A" w14:textId="5A78A256">
          <w:pPr>
            <w:pStyle w:val="Header"/>
            <w:ind w:left="-115"/>
          </w:pPr>
        </w:p>
      </w:tc>
      <w:tc>
        <w:tcPr>
          <w:tcW w:w="3120" w:type="dxa"/>
        </w:tcPr>
        <w:p w:rsidR="004367B5" w:rsidP="42793240" w:rsidRDefault="004367B5" w14:paraId="43728771" w14:textId="185B1CF6">
          <w:pPr>
            <w:pStyle w:val="Header"/>
            <w:jc w:val="center"/>
          </w:pPr>
        </w:p>
      </w:tc>
      <w:tc>
        <w:tcPr>
          <w:tcW w:w="3120" w:type="dxa"/>
        </w:tcPr>
        <w:p w:rsidR="004367B5" w:rsidP="42793240" w:rsidRDefault="004367B5" w14:paraId="178E39BE" w14:textId="51EB9C2E">
          <w:pPr>
            <w:pStyle w:val="Header"/>
            <w:ind w:right="-115"/>
            <w:jc w:val="right"/>
          </w:pPr>
        </w:p>
      </w:tc>
    </w:tr>
  </w:tbl>
  <w:p w:rsidR="004367B5" w:rsidRDefault="004367B5" w14:paraId="75C737A2" w14:textId="6FB033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B5" w:rsidRDefault="004367B5" w14:paraId="160B117C"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B5" w:rsidRDefault="004367B5" w14:paraId="4388260F"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B5" w:rsidRDefault="004367B5" w14:paraId="118BC7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hybridMultilevel"/>
    <w:tmpl w:val="A3848782"/>
    <w:lvl w:ilvl="0" w:tplc="B94C1E32">
      <w:start w:val="1"/>
      <w:numFmt w:val="decimal"/>
      <w:lvlText w:val="%1."/>
      <w:lvlJc w:val="left"/>
      <w:pPr>
        <w:tabs>
          <w:tab w:val="num" w:pos="1440"/>
        </w:tabs>
        <w:ind w:left="1440" w:hanging="360"/>
      </w:pPr>
      <w:rPr>
        <w:rFonts w:cs="Times New Roman"/>
      </w:rPr>
    </w:lvl>
    <w:lvl w:ilvl="1" w:tplc="A370794E">
      <w:numFmt w:val="decimal"/>
      <w:lvlText w:val=""/>
      <w:lvlJc w:val="left"/>
    </w:lvl>
    <w:lvl w:ilvl="2" w:tplc="33B2BC4C">
      <w:numFmt w:val="decimal"/>
      <w:lvlText w:val=""/>
      <w:lvlJc w:val="left"/>
    </w:lvl>
    <w:lvl w:ilvl="3" w:tplc="4A5E8914">
      <w:numFmt w:val="decimal"/>
      <w:lvlText w:val=""/>
      <w:lvlJc w:val="left"/>
    </w:lvl>
    <w:lvl w:ilvl="4" w:tplc="31AC1240">
      <w:numFmt w:val="decimal"/>
      <w:lvlText w:val=""/>
      <w:lvlJc w:val="left"/>
    </w:lvl>
    <w:lvl w:ilvl="5" w:tplc="6D0286B4">
      <w:numFmt w:val="decimal"/>
      <w:lvlText w:val=""/>
      <w:lvlJc w:val="left"/>
    </w:lvl>
    <w:lvl w:ilvl="6" w:tplc="33C446F8">
      <w:numFmt w:val="decimal"/>
      <w:lvlText w:val=""/>
      <w:lvlJc w:val="left"/>
    </w:lvl>
    <w:lvl w:ilvl="7" w:tplc="FD2042B2">
      <w:numFmt w:val="decimal"/>
      <w:lvlText w:val=""/>
      <w:lvlJc w:val="left"/>
    </w:lvl>
    <w:lvl w:ilvl="8" w:tplc="FFACF58C">
      <w:numFmt w:val="decimal"/>
      <w:lvlText w:val=""/>
      <w:lvlJc w:val="left"/>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A67F01"/>
    <w:multiLevelType w:val="hybridMultilevel"/>
    <w:tmpl w:val="40D8F6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11E53933"/>
    <w:multiLevelType w:val="hybridMultilevel"/>
    <w:tmpl w:val="9B68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CB0CE3"/>
    <w:multiLevelType w:val="hybridMultilevel"/>
    <w:tmpl w:val="A09AC69E"/>
    <w:lvl w:ilvl="0" w:tplc="696A65CC">
      <w:start w:val="1"/>
      <w:numFmt w:val="decimal"/>
      <w:lvlText w:val="%1."/>
      <w:lvlJc w:val="left"/>
      <w:pPr>
        <w:ind w:left="360" w:hanging="360"/>
      </w:pPr>
      <w:rPr>
        <w:rFonts w:hint="default"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9A1006"/>
    <w:multiLevelType w:val="hybridMultilevel"/>
    <w:tmpl w:val="29EED790"/>
    <w:lvl w:ilvl="0" w:tplc="D13A3D1E">
      <w:numFmt w:val="bullet"/>
      <w:lvlText w:val="-"/>
      <w:lvlJc w:val="left"/>
      <w:pPr>
        <w:ind w:left="720" w:hanging="360"/>
      </w:pPr>
      <w:rPr>
        <w:rFonts w:hint="default" w:ascii="Calibri" w:hAnsi="Calibri" w:eastAsia="Calibri" w:cs="Calibr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E8F61C3"/>
    <w:multiLevelType w:val="hybridMultilevel"/>
    <w:tmpl w:val="7938F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953A4"/>
    <w:multiLevelType w:val="hybridMultilevel"/>
    <w:tmpl w:val="79D42A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CD5949"/>
    <w:multiLevelType w:val="hybridMultilevel"/>
    <w:tmpl w:val="99C46692"/>
    <w:lvl w:ilvl="0" w:tplc="0409000F">
      <w:start w:val="1"/>
      <w:numFmt w:val="decimal"/>
      <w:lvlText w:val="%1."/>
      <w:lvlJc w:val="left"/>
      <w:pPr>
        <w:ind w:left="720" w:hanging="360"/>
      </w:pPr>
    </w:lvl>
    <w:lvl w:ilvl="1" w:tplc="7A1AB092">
      <w:start w:val="2"/>
      <w:numFmt w:val="bullet"/>
      <w:lvlText w:val="•"/>
      <w:lvlJc w:val="left"/>
      <w:pPr>
        <w:ind w:left="1800" w:hanging="720"/>
      </w:pPr>
      <w:rPr>
        <w:rFonts w:hint="default" w:ascii="Calibri" w:hAnsi="Calibri" w:eastAsia="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DA63D82"/>
    <w:multiLevelType w:val="hybridMultilevel"/>
    <w:tmpl w:val="7C8C9914"/>
    <w:lvl w:ilvl="0" w:tplc="02EEA1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hint="default"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4"/>
  </w:num>
  <w:num w:numId="14">
    <w:abstractNumId w:val="21"/>
  </w:num>
  <w:num w:numId="15">
    <w:abstractNumId w:val="20"/>
  </w:num>
  <w:num w:numId="16">
    <w:abstractNumId w:val="22"/>
  </w:num>
  <w:num w:numId="17">
    <w:abstractNumId w:val="14"/>
  </w:num>
  <w:num w:numId="18">
    <w:abstractNumId w:val="18"/>
  </w:num>
  <w:num w:numId="19">
    <w:abstractNumId w:val="17"/>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13"/>
  </w:num>
  <w:num w:numId="24">
    <w:abstractNumId w:val="23"/>
  </w:num>
  <w:num w:numId="2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0"/>
  <w:trackRevisions w:val="false"/>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0"/>
    <w:rsid w:val="00000EC6"/>
    <w:rsid w:val="00001671"/>
    <w:rsid w:val="000029F4"/>
    <w:rsid w:val="00004F01"/>
    <w:rsid w:val="00007279"/>
    <w:rsid w:val="0000727E"/>
    <w:rsid w:val="000079B1"/>
    <w:rsid w:val="000101FE"/>
    <w:rsid w:val="00010230"/>
    <w:rsid w:val="000116B2"/>
    <w:rsid w:val="00011EF6"/>
    <w:rsid w:val="00012917"/>
    <w:rsid w:val="00014206"/>
    <w:rsid w:val="000153F6"/>
    <w:rsid w:val="0001643E"/>
    <w:rsid w:val="00016C31"/>
    <w:rsid w:val="00017A35"/>
    <w:rsid w:val="000202EB"/>
    <w:rsid w:val="000204C7"/>
    <w:rsid w:val="00021EDD"/>
    <w:rsid w:val="0002242E"/>
    <w:rsid w:val="00022CF5"/>
    <w:rsid w:val="00024812"/>
    <w:rsid w:val="00024F61"/>
    <w:rsid w:val="0002521E"/>
    <w:rsid w:val="00026149"/>
    <w:rsid w:val="000262CD"/>
    <w:rsid w:val="000265FF"/>
    <w:rsid w:val="00027899"/>
    <w:rsid w:val="0003059B"/>
    <w:rsid w:val="000321B5"/>
    <w:rsid w:val="000322F1"/>
    <w:rsid w:val="00032C1E"/>
    <w:rsid w:val="0003300B"/>
    <w:rsid w:val="00034405"/>
    <w:rsid w:val="0003459B"/>
    <w:rsid w:val="00035311"/>
    <w:rsid w:val="00035628"/>
    <w:rsid w:val="000357CA"/>
    <w:rsid w:val="00035F04"/>
    <w:rsid w:val="000372C0"/>
    <w:rsid w:val="000372D5"/>
    <w:rsid w:val="00042C4D"/>
    <w:rsid w:val="0004308D"/>
    <w:rsid w:val="000435C8"/>
    <w:rsid w:val="00043B67"/>
    <w:rsid w:val="00044565"/>
    <w:rsid w:val="0004548E"/>
    <w:rsid w:val="00045791"/>
    <w:rsid w:val="000457B3"/>
    <w:rsid w:val="00047E3E"/>
    <w:rsid w:val="00051729"/>
    <w:rsid w:val="000518AA"/>
    <w:rsid w:val="00052114"/>
    <w:rsid w:val="0005265C"/>
    <w:rsid w:val="00053E62"/>
    <w:rsid w:val="00054780"/>
    <w:rsid w:val="00054ADA"/>
    <w:rsid w:val="00056828"/>
    <w:rsid w:val="00057E29"/>
    <w:rsid w:val="00060CE4"/>
    <w:rsid w:val="00061845"/>
    <w:rsid w:val="00061B37"/>
    <w:rsid w:val="00061E41"/>
    <w:rsid w:val="000620FD"/>
    <w:rsid w:val="0006377A"/>
    <w:rsid w:val="00063986"/>
    <w:rsid w:val="000661A8"/>
    <w:rsid w:val="00066548"/>
    <w:rsid w:val="0006665A"/>
    <w:rsid w:val="000670CF"/>
    <w:rsid w:val="00067C07"/>
    <w:rsid w:val="00067FD4"/>
    <w:rsid w:val="00070633"/>
    <w:rsid w:val="00070B19"/>
    <w:rsid w:val="000717E5"/>
    <w:rsid w:val="00071E55"/>
    <w:rsid w:val="00071F05"/>
    <w:rsid w:val="000720DD"/>
    <w:rsid w:val="00072A63"/>
    <w:rsid w:val="00072C8A"/>
    <w:rsid w:val="00072F46"/>
    <w:rsid w:val="000734F6"/>
    <w:rsid w:val="00074E10"/>
    <w:rsid w:val="00075AB2"/>
    <w:rsid w:val="0007671E"/>
    <w:rsid w:val="00077F16"/>
    <w:rsid w:val="00080209"/>
    <w:rsid w:val="0008068E"/>
    <w:rsid w:val="00080943"/>
    <w:rsid w:val="00080C96"/>
    <w:rsid w:val="00080ECB"/>
    <w:rsid w:val="00081136"/>
    <w:rsid w:val="000825DF"/>
    <w:rsid w:val="000831B8"/>
    <w:rsid w:val="00083B49"/>
    <w:rsid w:val="00083BAB"/>
    <w:rsid w:val="00083BEB"/>
    <w:rsid w:val="00083CD6"/>
    <w:rsid w:val="0008420F"/>
    <w:rsid w:val="00084E02"/>
    <w:rsid w:val="00085D38"/>
    <w:rsid w:val="00085ECE"/>
    <w:rsid w:val="0008684E"/>
    <w:rsid w:val="00086B1A"/>
    <w:rsid w:val="0008764E"/>
    <w:rsid w:val="00087BEC"/>
    <w:rsid w:val="00091139"/>
    <w:rsid w:val="000918AD"/>
    <w:rsid w:val="000922FD"/>
    <w:rsid w:val="00093BF8"/>
    <w:rsid w:val="0009415B"/>
    <w:rsid w:val="0009419B"/>
    <w:rsid w:val="00095321"/>
    <w:rsid w:val="00095CAA"/>
    <w:rsid w:val="00096632"/>
    <w:rsid w:val="00096BAB"/>
    <w:rsid w:val="00096BCC"/>
    <w:rsid w:val="00096FE3"/>
    <w:rsid w:val="00097155"/>
    <w:rsid w:val="000975D9"/>
    <w:rsid w:val="000A17B8"/>
    <w:rsid w:val="000A3328"/>
    <w:rsid w:val="000A3869"/>
    <w:rsid w:val="000A3971"/>
    <w:rsid w:val="000A3AF5"/>
    <w:rsid w:val="000A49FB"/>
    <w:rsid w:val="000A5083"/>
    <w:rsid w:val="000A6604"/>
    <w:rsid w:val="000A6D80"/>
    <w:rsid w:val="000A7940"/>
    <w:rsid w:val="000A79F3"/>
    <w:rsid w:val="000A7EB6"/>
    <w:rsid w:val="000B0148"/>
    <w:rsid w:val="000B291F"/>
    <w:rsid w:val="000B43CC"/>
    <w:rsid w:val="000B45BD"/>
    <w:rsid w:val="000B5D24"/>
    <w:rsid w:val="000B600A"/>
    <w:rsid w:val="000B7A3C"/>
    <w:rsid w:val="000C0752"/>
    <w:rsid w:val="000C0905"/>
    <w:rsid w:val="000C16A9"/>
    <w:rsid w:val="000C20FC"/>
    <w:rsid w:val="000C265E"/>
    <w:rsid w:val="000C3ACA"/>
    <w:rsid w:val="000C4803"/>
    <w:rsid w:val="000C4F98"/>
    <w:rsid w:val="000C666E"/>
    <w:rsid w:val="000C74F3"/>
    <w:rsid w:val="000D006E"/>
    <w:rsid w:val="000D1E6C"/>
    <w:rsid w:val="000D2573"/>
    <w:rsid w:val="000D422A"/>
    <w:rsid w:val="000D488E"/>
    <w:rsid w:val="000D4D7D"/>
    <w:rsid w:val="000D7D16"/>
    <w:rsid w:val="000E0343"/>
    <w:rsid w:val="000E0BC2"/>
    <w:rsid w:val="000E0D5D"/>
    <w:rsid w:val="000E13BA"/>
    <w:rsid w:val="000E1DFB"/>
    <w:rsid w:val="000E1F9B"/>
    <w:rsid w:val="000E2928"/>
    <w:rsid w:val="000E319C"/>
    <w:rsid w:val="000E3358"/>
    <w:rsid w:val="000E34C4"/>
    <w:rsid w:val="000E4A11"/>
    <w:rsid w:val="000E4B8A"/>
    <w:rsid w:val="000E5032"/>
    <w:rsid w:val="000E53D6"/>
    <w:rsid w:val="000E5FBD"/>
    <w:rsid w:val="000E6121"/>
    <w:rsid w:val="000E640E"/>
    <w:rsid w:val="000E682C"/>
    <w:rsid w:val="000E6B9A"/>
    <w:rsid w:val="000E6CB6"/>
    <w:rsid w:val="000E7C4B"/>
    <w:rsid w:val="000F04AF"/>
    <w:rsid w:val="000F1DD7"/>
    <w:rsid w:val="000F21DE"/>
    <w:rsid w:val="000F37DB"/>
    <w:rsid w:val="000F4A06"/>
    <w:rsid w:val="000F4F5B"/>
    <w:rsid w:val="000F6B53"/>
    <w:rsid w:val="000F7512"/>
    <w:rsid w:val="000F7A05"/>
    <w:rsid w:val="000F7F3E"/>
    <w:rsid w:val="001002FA"/>
    <w:rsid w:val="00100921"/>
    <w:rsid w:val="00101B7E"/>
    <w:rsid w:val="00101E3D"/>
    <w:rsid w:val="00102442"/>
    <w:rsid w:val="0010332E"/>
    <w:rsid w:val="00103C66"/>
    <w:rsid w:val="0010487A"/>
    <w:rsid w:val="00106CAB"/>
    <w:rsid w:val="0010757C"/>
    <w:rsid w:val="001105E4"/>
    <w:rsid w:val="00110C28"/>
    <w:rsid w:val="001121F8"/>
    <w:rsid w:val="00112F30"/>
    <w:rsid w:val="0011395F"/>
    <w:rsid w:val="00113BAB"/>
    <w:rsid w:val="00114CA6"/>
    <w:rsid w:val="00114D8A"/>
    <w:rsid w:val="00115066"/>
    <w:rsid w:val="00115A56"/>
    <w:rsid w:val="00117AB9"/>
    <w:rsid w:val="00117CAF"/>
    <w:rsid w:val="00120904"/>
    <w:rsid w:val="00121945"/>
    <w:rsid w:val="00123B67"/>
    <w:rsid w:val="00124E85"/>
    <w:rsid w:val="0012509F"/>
    <w:rsid w:val="00125428"/>
    <w:rsid w:val="001256B0"/>
    <w:rsid w:val="00125FCA"/>
    <w:rsid w:val="001261A0"/>
    <w:rsid w:val="0012670F"/>
    <w:rsid w:val="00130228"/>
    <w:rsid w:val="00132B0C"/>
    <w:rsid w:val="00132CEA"/>
    <w:rsid w:val="00134B79"/>
    <w:rsid w:val="0013545A"/>
    <w:rsid w:val="00135B76"/>
    <w:rsid w:val="00135EA7"/>
    <w:rsid w:val="00136724"/>
    <w:rsid w:val="001369DA"/>
    <w:rsid w:val="0013762E"/>
    <w:rsid w:val="00137AB7"/>
    <w:rsid w:val="00140088"/>
    <w:rsid w:val="001405FD"/>
    <w:rsid w:val="001406AF"/>
    <w:rsid w:val="00141F8B"/>
    <w:rsid w:val="00142045"/>
    <w:rsid w:val="00143233"/>
    <w:rsid w:val="00143B36"/>
    <w:rsid w:val="001442FB"/>
    <w:rsid w:val="001460FB"/>
    <w:rsid w:val="00146457"/>
    <w:rsid w:val="00150B00"/>
    <w:rsid w:val="00151FDE"/>
    <w:rsid w:val="001539D4"/>
    <w:rsid w:val="00156045"/>
    <w:rsid w:val="00156205"/>
    <w:rsid w:val="00157D8A"/>
    <w:rsid w:val="00157EE4"/>
    <w:rsid w:val="0016089C"/>
    <w:rsid w:val="00160AC1"/>
    <w:rsid w:val="00160C4E"/>
    <w:rsid w:val="0016267E"/>
    <w:rsid w:val="00162A99"/>
    <w:rsid w:val="00163BA8"/>
    <w:rsid w:val="001648CE"/>
    <w:rsid w:val="00164969"/>
    <w:rsid w:val="00165B3F"/>
    <w:rsid w:val="00165CF9"/>
    <w:rsid w:val="00166377"/>
    <w:rsid w:val="001703C2"/>
    <w:rsid w:val="00171166"/>
    <w:rsid w:val="0017195A"/>
    <w:rsid w:val="001728FD"/>
    <w:rsid w:val="00172C7A"/>
    <w:rsid w:val="00172D3C"/>
    <w:rsid w:val="0017391B"/>
    <w:rsid w:val="0017454D"/>
    <w:rsid w:val="00174E1C"/>
    <w:rsid w:val="00175A92"/>
    <w:rsid w:val="00176F2C"/>
    <w:rsid w:val="0017730C"/>
    <w:rsid w:val="00177DEF"/>
    <w:rsid w:val="00177EDE"/>
    <w:rsid w:val="00180218"/>
    <w:rsid w:val="00180753"/>
    <w:rsid w:val="00180AB7"/>
    <w:rsid w:val="00180E8A"/>
    <w:rsid w:val="00181247"/>
    <w:rsid w:val="00181253"/>
    <w:rsid w:val="001825E0"/>
    <w:rsid w:val="00182A06"/>
    <w:rsid w:val="0018383F"/>
    <w:rsid w:val="00184182"/>
    <w:rsid w:val="00184AE8"/>
    <w:rsid w:val="00184B7E"/>
    <w:rsid w:val="00184C8E"/>
    <w:rsid w:val="00184CFB"/>
    <w:rsid w:val="00184F71"/>
    <w:rsid w:val="00186776"/>
    <w:rsid w:val="00187F31"/>
    <w:rsid w:val="00190078"/>
    <w:rsid w:val="00192527"/>
    <w:rsid w:val="00192E4D"/>
    <w:rsid w:val="0019328F"/>
    <w:rsid w:val="00193AF0"/>
    <w:rsid w:val="00194CDA"/>
    <w:rsid w:val="00194DE6"/>
    <w:rsid w:val="00195D5C"/>
    <w:rsid w:val="00197A52"/>
    <w:rsid w:val="00197A7A"/>
    <w:rsid w:val="001A0074"/>
    <w:rsid w:val="001A0CD3"/>
    <w:rsid w:val="001A0F7B"/>
    <w:rsid w:val="001A112B"/>
    <w:rsid w:val="001A1131"/>
    <w:rsid w:val="001A12A3"/>
    <w:rsid w:val="001A226D"/>
    <w:rsid w:val="001A3203"/>
    <w:rsid w:val="001A36E8"/>
    <w:rsid w:val="001A3880"/>
    <w:rsid w:val="001A6644"/>
    <w:rsid w:val="001A6F81"/>
    <w:rsid w:val="001A781C"/>
    <w:rsid w:val="001A7953"/>
    <w:rsid w:val="001A7F28"/>
    <w:rsid w:val="001B1B69"/>
    <w:rsid w:val="001B5AF8"/>
    <w:rsid w:val="001B6520"/>
    <w:rsid w:val="001B6936"/>
    <w:rsid w:val="001B75E2"/>
    <w:rsid w:val="001B7DB9"/>
    <w:rsid w:val="001C2692"/>
    <w:rsid w:val="001C3C19"/>
    <w:rsid w:val="001C40DA"/>
    <w:rsid w:val="001C4867"/>
    <w:rsid w:val="001C516A"/>
    <w:rsid w:val="001C5C58"/>
    <w:rsid w:val="001C61C3"/>
    <w:rsid w:val="001C696A"/>
    <w:rsid w:val="001C6BA2"/>
    <w:rsid w:val="001C6F4A"/>
    <w:rsid w:val="001D017E"/>
    <w:rsid w:val="001D0384"/>
    <w:rsid w:val="001D0567"/>
    <w:rsid w:val="001D20E3"/>
    <w:rsid w:val="001D2586"/>
    <w:rsid w:val="001D269C"/>
    <w:rsid w:val="001D285F"/>
    <w:rsid w:val="001D3EC3"/>
    <w:rsid w:val="001D454C"/>
    <w:rsid w:val="001D4D6A"/>
    <w:rsid w:val="001D5281"/>
    <w:rsid w:val="001D5457"/>
    <w:rsid w:val="001D6AF5"/>
    <w:rsid w:val="001D6D42"/>
    <w:rsid w:val="001D6ECF"/>
    <w:rsid w:val="001D78ED"/>
    <w:rsid w:val="001D7E43"/>
    <w:rsid w:val="001E1072"/>
    <w:rsid w:val="001E325A"/>
    <w:rsid w:val="001E3AA1"/>
    <w:rsid w:val="001E3EA8"/>
    <w:rsid w:val="001E551F"/>
    <w:rsid w:val="001E6E6E"/>
    <w:rsid w:val="001E763D"/>
    <w:rsid w:val="001E7D42"/>
    <w:rsid w:val="001F02E8"/>
    <w:rsid w:val="001F047E"/>
    <w:rsid w:val="001F0713"/>
    <w:rsid w:val="001F1BE7"/>
    <w:rsid w:val="001F3C7D"/>
    <w:rsid w:val="001F511A"/>
    <w:rsid w:val="001F68DE"/>
    <w:rsid w:val="001F6B14"/>
    <w:rsid w:val="001F7992"/>
    <w:rsid w:val="00201C5E"/>
    <w:rsid w:val="002041C4"/>
    <w:rsid w:val="00204866"/>
    <w:rsid w:val="00204E13"/>
    <w:rsid w:val="00205644"/>
    <w:rsid w:val="00205926"/>
    <w:rsid w:val="00205CCE"/>
    <w:rsid w:val="00206C72"/>
    <w:rsid w:val="00207A05"/>
    <w:rsid w:val="00207B77"/>
    <w:rsid w:val="00211F76"/>
    <w:rsid w:val="00212E06"/>
    <w:rsid w:val="00212E3C"/>
    <w:rsid w:val="00212E96"/>
    <w:rsid w:val="002137A1"/>
    <w:rsid w:val="00214170"/>
    <w:rsid w:val="002144A6"/>
    <w:rsid w:val="00215A79"/>
    <w:rsid w:val="00215FFC"/>
    <w:rsid w:val="0021670F"/>
    <w:rsid w:val="00216A02"/>
    <w:rsid w:val="0021781D"/>
    <w:rsid w:val="00217B66"/>
    <w:rsid w:val="00217EA0"/>
    <w:rsid w:val="00220C8E"/>
    <w:rsid w:val="00221262"/>
    <w:rsid w:val="00221D81"/>
    <w:rsid w:val="00223E89"/>
    <w:rsid w:val="00224031"/>
    <w:rsid w:val="00224637"/>
    <w:rsid w:val="00224741"/>
    <w:rsid w:val="00224CD2"/>
    <w:rsid w:val="002266F1"/>
    <w:rsid w:val="002268A9"/>
    <w:rsid w:val="00226B59"/>
    <w:rsid w:val="00230FEF"/>
    <w:rsid w:val="002311BD"/>
    <w:rsid w:val="00231CBF"/>
    <w:rsid w:val="002323D0"/>
    <w:rsid w:val="0023315D"/>
    <w:rsid w:val="00233524"/>
    <w:rsid w:val="00233956"/>
    <w:rsid w:val="00233ACF"/>
    <w:rsid w:val="00233D2F"/>
    <w:rsid w:val="002342A1"/>
    <w:rsid w:val="002343D6"/>
    <w:rsid w:val="002346CD"/>
    <w:rsid w:val="00234918"/>
    <w:rsid w:val="00235AE1"/>
    <w:rsid w:val="00236A28"/>
    <w:rsid w:val="00236F35"/>
    <w:rsid w:val="00236F9D"/>
    <w:rsid w:val="002404BB"/>
    <w:rsid w:val="00240AEF"/>
    <w:rsid w:val="00241717"/>
    <w:rsid w:val="00241F36"/>
    <w:rsid w:val="0024397D"/>
    <w:rsid w:val="00243E3D"/>
    <w:rsid w:val="00244EDB"/>
    <w:rsid w:val="00247E65"/>
    <w:rsid w:val="00251A3F"/>
    <w:rsid w:val="0025305C"/>
    <w:rsid w:val="00254774"/>
    <w:rsid w:val="00254A9B"/>
    <w:rsid w:val="0025577D"/>
    <w:rsid w:val="00255CB4"/>
    <w:rsid w:val="00255D7F"/>
    <w:rsid w:val="0025607E"/>
    <w:rsid w:val="00256481"/>
    <w:rsid w:val="002566E9"/>
    <w:rsid w:val="00260EA1"/>
    <w:rsid w:val="00261EA3"/>
    <w:rsid w:val="00263CA8"/>
    <w:rsid w:val="002643F3"/>
    <w:rsid w:val="0026448F"/>
    <w:rsid w:val="002648D1"/>
    <w:rsid w:val="002660BC"/>
    <w:rsid w:val="00267042"/>
    <w:rsid w:val="00267FE2"/>
    <w:rsid w:val="0027020F"/>
    <w:rsid w:val="002707F7"/>
    <w:rsid w:val="00270B46"/>
    <w:rsid w:val="00271E3A"/>
    <w:rsid w:val="002721FA"/>
    <w:rsid w:val="00272E1D"/>
    <w:rsid w:val="002733B9"/>
    <w:rsid w:val="00273D77"/>
    <w:rsid w:val="00275A94"/>
    <w:rsid w:val="00275F5E"/>
    <w:rsid w:val="002764CB"/>
    <w:rsid w:val="0027673E"/>
    <w:rsid w:val="00276A3D"/>
    <w:rsid w:val="00277A52"/>
    <w:rsid w:val="00281E9A"/>
    <w:rsid w:val="0028387C"/>
    <w:rsid w:val="00283CA8"/>
    <w:rsid w:val="0028477E"/>
    <w:rsid w:val="00284AD9"/>
    <w:rsid w:val="00284E5C"/>
    <w:rsid w:val="00285752"/>
    <w:rsid w:val="00286AB2"/>
    <w:rsid w:val="00286ED1"/>
    <w:rsid w:val="002872EE"/>
    <w:rsid w:val="00287D78"/>
    <w:rsid w:val="002905D8"/>
    <w:rsid w:val="0029152D"/>
    <w:rsid w:val="002922CD"/>
    <w:rsid w:val="00292ECE"/>
    <w:rsid w:val="002943B1"/>
    <w:rsid w:val="002945DF"/>
    <w:rsid w:val="00294664"/>
    <w:rsid w:val="00294A23"/>
    <w:rsid w:val="00294B1B"/>
    <w:rsid w:val="00294CA9"/>
    <w:rsid w:val="002952EA"/>
    <w:rsid w:val="00295998"/>
    <w:rsid w:val="0029672D"/>
    <w:rsid w:val="002969C3"/>
    <w:rsid w:val="00296FD9"/>
    <w:rsid w:val="00297CC9"/>
    <w:rsid w:val="002A2068"/>
    <w:rsid w:val="002A206F"/>
    <w:rsid w:val="002A2308"/>
    <w:rsid w:val="002A2980"/>
    <w:rsid w:val="002A2D17"/>
    <w:rsid w:val="002A310B"/>
    <w:rsid w:val="002A4896"/>
    <w:rsid w:val="002A49B8"/>
    <w:rsid w:val="002A4E8C"/>
    <w:rsid w:val="002A5179"/>
    <w:rsid w:val="002A57D8"/>
    <w:rsid w:val="002A5D07"/>
    <w:rsid w:val="002B1695"/>
    <w:rsid w:val="002B3BB7"/>
    <w:rsid w:val="002B5274"/>
    <w:rsid w:val="002C0682"/>
    <w:rsid w:val="002C12CE"/>
    <w:rsid w:val="002C155C"/>
    <w:rsid w:val="002C2845"/>
    <w:rsid w:val="002C2FAB"/>
    <w:rsid w:val="002C3395"/>
    <w:rsid w:val="002C4269"/>
    <w:rsid w:val="002C451D"/>
    <w:rsid w:val="002C547E"/>
    <w:rsid w:val="002C5F73"/>
    <w:rsid w:val="002C60ED"/>
    <w:rsid w:val="002C70CE"/>
    <w:rsid w:val="002D0B50"/>
    <w:rsid w:val="002D15C9"/>
    <w:rsid w:val="002D34A9"/>
    <w:rsid w:val="002D478C"/>
    <w:rsid w:val="002D566A"/>
    <w:rsid w:val="002D5BF3"/>
    <w:rsid w:val="002D6550"/>
    <w:rsid w:val="002D68E5"/>
    <w:rsid w:val="002D6AE3"/>
    <w:rsid w:val="002D7265"/>
    <w:rsid w:val="002D745A"/>
    <w:rsid w:val="002E13AC"/>
    <w:rsid w:val="002E373E"/>
    <w:rsid w:val="002E53ED"/>
    <w:rsid w:val="002E58FB"/>
    <w:rsid w:val="002E6C3F"/>
    <w:rsid w:val="002E7140"/>
    <w:rsid w:val="002E7287"/>
    <w:rsid w:val="002E7822"/>
    <w:rsid w:val="002E7939"/>
    <w:rsid w:val="002F00E3"/>
    <w:rsid w:val="002F027E"/>
    <w:rsid w:val="002F1666"/>
    <w:rsid w:val="002F1D02"/>
    <w:rsid w:val="002F28A2"/>
    <w:rsid w:val="002F2A9F"/>
    <w:rsid w:val="002F3BC7"/>
    <w:rsid w:val="002F4183"/>
    <w:rsid w:val="002F475D"/>
    <w:rsid w:val="002F5272"/>
    <w:rsid w:val="002F664F"/>
    <w:rsid w:val="002F7155"/>
    <w:rsid w:val="002F71D6"/>
    <w:rsid w:val="002F7A63"/>
    <w:rsid w:val="002F7E3C"/>
    <w:rsid w:val="0030036E"/>
    <w:rsid w:val="0030068B"/>
    <w:rsid w:val="00300F91"/>
    <w:rsid w:val="00301321"/>
    <w:rsid w:val="00301FE2"/>
    <w:rsid w:val="00302737"/>
    <w:rsid w:val="003029D7"/>
    <w:rsid w:val="0030336D"/>
    <w:rsid w:val="00303478"/>
    <w:rsid w:val="00303AB8"/>
    <w:rsid w:val="003045F6"/>
    <w:rsid w:val="00304D73"/>
    <w:rsid w:val="00305182"/>
    <w:rsid w:val="003056D6"/>
    <w:rsid w:val="003064C5"/>
    <w:rsid w:val="00306E0A"/>
    <w:rsid w:val="003075B5"/>
    <w:rsid w:val="00307EFF"/>
    <w:rsid w:val="00312C1B"/>
    <w:rsid w:val="003145D5"/>
    <w:rsid w:val="003148BE"/>
    <w:rsid w:val="00314B0B"/>
    <w:rsid w:val="00316098"/>
    <w:rsid w:val="00316631"/>
    <w:rsid w:val="00316EE5"/>
    <w:rsid w:val="003177EF"/>
    <w:rsid w:val="00317B1C"/>
    <w:rsid w:val="00321A46"/>
    <w:rsid w:val="00321E62"/>
    <w:rsid w:val="00323299"/>
    <w:rsid w:val="00323515"/>
    <w:rsid w:val="00323D93"/>
    <w:rsid w:val="0032477D"/>
    <w:rsid w:val="003262D2"/>
    <w:rsid w:val="00327329"/>
    <w:rsid w:val="00327499"/>
    <w:rsid w:val="00327DDD"/>
    <w:rsid w:val="0033058A"/>
    <w:rsid w:val="00330AC7"/>
    <w:rsid w:val="003317C3"/>
    <w:rsid w:val="0033195A"/>
    <w:rsid w:val="003320F5"/>
    <w:rsid w:val="00332A82"/>
    <w:rsid w:val="003350EA"/>
    <w:rsid w:val="00336CAB"/>
    <w:rsid w:val="00336EA0"/>
    <w:rsid w:val="00336EA3"/>
    <w:rsid w:val="003371DB"/>
    <w:rsid w:val="003379B2"/>
    <w:rsid w:val="0034021F"/>
    <w:rsid w:val="003408E7"/>
    <w:rsid w:val="0034130D"/>
    <w:rsid w:val="0034133C"/>
    <w:rsid w:val="003416A3"/>
    <w:rsid w:val="00342143"/>
    <w:rsid w:val="003425DE"/>
    <w:rsid w:val="003432B2"/>
    <w:rsid w:val="00343378"/>
    <w:rsid w:val="0034375C"/>
    <w:rsid w:val="003439F9"/>
    <w:rsid w:val="00343AC1"/>
    <w:rsid w:val="0034477A"/>
    <w:rsid w:val="0034596B"/>
    <w:rsid w:val="00346A4E"/>
    <w:rsid w:val="00346C40"/>
    <w:rsid w:val="0034788B"/>
    <w:rsid w:val="00350083"/>
    <w:rsid w:val="003504FE"/>
    <w:rsid w:val="00351220"/>
    <w:rsid w:val="00351DF3"/>
    <w:rsid w:val="00352133"/>
    <w:rsid w:val="003521B8"/>
    <w:rsid w:val="00352316"/>
    <w:rsid w:val="00352977"/>
    <w:rsid w:val="00353B8B"/>
    <w:rsid w:val="003543C9"/>
    <w:rsid w:val="00354514"/>
    <w:rsid w:val="003550DA"/>
    <w:rsid w:val="003553D6"/>
    <w:rsid w:val="003558E7"/>
    <w:rsid w:val="00356DCB"/>
    <w:rsid w:val="00356DF3"/>
    <w:rsid w:val="00357C5C"/>
    <w:rsid w:val="00360986"/>
    <w:rsid w:val="00360ACE"/>
    <w:rsid w:val="00361853"/>
    <w:rsid w:val="00361CC3"/>
    <w:rsid w:val="00362353"/>
    <w:rsid w:val="003636A4"/>
    <w:rsid w:val="00363F6A"/>
    <w:rsid w:val="00364B41"/>
    <w:rsid w:val="00364CC4"/>
    <w:rsid w:val="003657AB"/>
    <w:rsid w:val="00365CE8"/>
    <w:rsid w:val="003668AF"/>
    <w:rsid w:val="00366D21"/>
    <w:rsid w:val="00370486"/>
    <w:rsid w:val="00370741"/>
    <w:rsid w:val="00370CDA"/>
    <w:rsid w:val="0037146A"/>
    <w:rsid w:val="0037176A"/>
    <w:rsid w:val="00371789"/>
    <w:rsid w:val="0037342E"/>
    <w:rsid w:val="00373A69"/>
    <w:rsid w:val="003750BB"/>
    <w:rsid w:val="00375479"/>
    <w:rsid w:val="0037664B"/>
    <w:rsid w:val="00377B14"/>
    <w:rsid w:val="00380C4B"/>
    <w:rsid w:val="003814EF"/>
    <w:rsid w:val="00381D55"/>
    <w:rsid w:val="003827C5"/>
    <w:rsid w:val="00382C95"/>
    <w:rsid w:val="00383267"/>
    <w:rsid w:val="003834A9"/>
    <w:rsid w:val="00383AC9"/>
    <w:rsid w:val="00383DA8"/>
    <w:rsid w:val="00383E3E"/>
    <w:rsid w:val="00384469"/>
    <w:rsid w:val="00384EC4"/>
    <w:rsid w:val="00387D2F"/>
    <w:rsid w:val="00390474"/>
    <w:rsid w:val="003915C2"/>
    <w:rsid w:val="00392557"/>
    <w:rsid w:val="00393130"/>
    <w:rsid w:val="00393270"/>
    <w:rsid w:val="00393325"/>
    <w:rsid w:val="00393D1A"/>
    <w:rsid w:val="00394D6A"/>
    <w:rsid w:val="00394F4A"/>
    <w:rsid w:val="003958CF"/>
    <w:rsid w:val="00396362"/>
    <w:rsid w:val="00396613"/>
    <w:rsid w:val="00396A50"/>
    <w:rsid w:val="003A05A0"/>
    <w:rsid w:val="003A05C5"/>
    <w:rsid w:val="003A0ACB"/>
    <w:rsid w:val="003A0E00"/>
    <w:rsid w:val="003A13CA"/>
    <w:rsid w:val="003A1AB1"/>
    <w:rsid w:val="003A1AEA"/>
    <w:rsid w:val="003A231A"/>
    <w:rsid w:val="003A235B"/>
    <w:rsid w:val="003A3022"/>
    <w:rsid w:val="003A35A7"/>
    <w:rsid w:val="003A3BED"/>
    <w:rsid w:val="003A3DFE"/>
    <w:rsid w:val="003A415B"/>
    <w:rsid w:val="003A4A28"/>
    <w:rsid w:val="003A51A2"/>
    <w:rsid w:val="003A58EC"/>
    <w:rsid w:val="003A5B2A"/>
    <w:rsid w:val="003A683D"/>
    <w:rsid w:val="003B1D42"/>
    <w:rsid w:val="003B2CE5"/>
    <w:rsid w:val="003B2D3A"/>
    <w:rsid w:val="003B441D"/>
    <w:rsid w:val="003B47FF"/>
    <w:rsid w:val="003B66A4"/>
    <w:rsid w:val="003B7C61"/>
    <w:rsid w:val="003C0161"/>
    <w:rsid w:val="003C0F81"/>
    <w:rsid w:val="003C0FDC"/>
    <w:rsid w:val="003C1534"/>
    <w:rsid w:val="003C1628"/>
    <w:rsid w:val="003C252B"/>
    <w:rsid w:val="003C2B1B"/>
    <w:rsid w:val="003C2DA5"/>
    <w:rsid w:val="003C43EF"/>
    <w:rsid w:val="003C44E8"/>
    <w:rsid w:val="003C464D"/>
    <w:rsid w:val="003C4B53"/>
    <w:rsid w:val="003C6161"/>
    <w:rsid w:val="003C6AFE"/>
    <w:rsid w:val="003D1D17"/>
    <w:rsid w:val="003D20C4"/>
    <w:rsid w:val="003D334C"/>
    <w:rsid w:val="003D4D5B"/>
    <w:rsid w:val="003D6F66"/>
    <w:rsid w:val="003D70BB"/>
    <w:rsid w:val="003D72A1"/>
    <w:rsid w:val="003D76CD"/>
    <w:rsid w:val="003E0EB9"/>
    <w:rsid w:val="003E0F35"/>
    <w:rsid w:val="003E14A9"/>
    <w:rsid w:val="003E228F"/>
    <w:rsid w:val="003E22CB"/>
    <w:rsid w:val="003E24A6"/>
    <w:rsid w:val="003E258F"/>
    <w:rsid w:val="003E3847"/>
    <w:rsid w:val="003E3F93"/>
    <w:rsid w:val="003E44AF"/>
    <w:rsid w:val="003E4568"/>
    <w:rsid w:val="003E550B"/>
    <w:rsid w:val="003E60F8"/>
    <w:rsid w:val="003E78DB"/>
    <w:rsid w:val="003E7DDE"/>
    <w:rsid w:val="003F0043"/>
    <w:rsid w:val="003F0F13"/>
    <w:rsid w:val="003F489C"/>
    <w:rsid w:val="003F5DE1"/>
    <w:rsid w:val="003F5F7A"/>
    <w:rsid w:val="003F6F0B"/>
    <w:rsid w:val="004000E2"/>
    <w:rsid w:val="00400274"/>
    <w:rsid w:val="00400541"/>
    <w:rsid w:val="00400B9A"/>
    <w:rsid w:val="004010F9"/>
    <w:rsid w:val="00402A5D"/>
    <w:rsid w:val="00403154"/>
    <w:rsid w:val="00403D51"/>
    <w:rsid w:val="004047DD"/>
    <w:rsid w:val="004062C4"/>
    <w:rsid w:val="004070CC"/>
    <w:rsid w:val="004102A4"/>
    <w:rsid w:val="00410EB5"/>
    <w:rsid w:val="00411E5C"/>
    <w:rsid w:val="00413021"/>
    <w:rsid w:val="00413518"/>
    <w:rsid w:val="0041369A"/>
    <w:rsid w:val="00413A8F"/>
    <w:rsid w:val="004141EC"/>
    <w:rsid w:val="0041472A"/>
    <w:rsid w:val="00415912"/>
    <w:rsid w:val="0041692B"/>
    <w:rsid w:val="00416FB6"/>
    <w:rsid w:val="0042286B"/>
    <w:rsid w:val="00424055"/>
    <w:rsid w:val="00424462"/>
    <w:rsid w:val="00424711"/>
    <w:rsid w:val="00425860"/>
    <w:rsid w:val="00425A7B"/>
    <w:rsid w:val="00425F63"/>
    <w:rsid w:val="00426BF8"/>
    <w:rsid w:val="00427D78"/>
    <w:rsid w:val="00430A54"/>
    <w:rsid w:val="00430E3F"/>
    <w:rsid w:val="0043271A"/>
    <w:rsid w:val="00432796"/>
    <w:rsid w:val="00432EB4"/>
    <w:rsid w:val="00432F29"/>
    <w:rsid w:val="00434057"/>
    <w:rsid w:val="00435096"/>
    <w:rsid w:val="004367B5"/>
    <w:rsid w:val="00436866"/>
    <w:rsid w:val="00440CE0"/>
    <w:rsid w:val="00441205"/>
    <w:rsid w:val="0044179D"/>
    <w:rsid w:val="004422F8"/>
    <w:rsid w:val="0044241B"/>
    <w:rsid w:val="00442777"/>
    <w:rsid w:val="00442890"/>
    <w:rsid w:val="00443A29"/>
    <w:rsid w:val="00443DE8"/>
    <w:rsid w:val="00444619"/>
    <w:rsid w:val="004448CA"/>
    <w:rsid w:val="004468BC"/>
    <w:rsid w:val="00447517"/>
    <w:rsid w:val="00447DD2"/>
    <w:rsid w:val="00450760"/>
    <w:rsid w:val="00450FE7"/>
    <w:rsid w:val="00451AA9"/>
    <w:rsid w:val="004527FE"/>
    <w:rsid w:val="00452EC7"/>
    <w:rsid w:val="00453175"/>
    <w:rsid w:val="00453780"/>
    <w:rsid w:val="0045398A"/>
    <w:rsid w:val="00454162"/>
    <w:rsid w:val="00455495"/>
    <w:rsid w:val="00456091"/>
    <w:rsid w:val="00456CC2"/>
    <w:rsid w:val="00457140"/>
    <w:rsid w:val="00461B64"/>
    <w:rsid w:val="0046261B"/>
    <w:rsid w:val="00462A78"/>
    <w:rsid w:val="0046519F"/>
    <w:rsid w:val="0046542C"/>
    <w:rsid w:val="004656F1"/>
    <w:rsid w:val="004657FC"/>
    <w:rsid w:val="00465B30"/>
    <w:rsid w:val="0046678C"/>
    <w:rsid w:val="0046760B"/>
    <w:rsid w:val="004702B9"/>
    <w:rsid w:val="00470BB5"/>
    <w:rsid w:val="004718FE"/>
    <w:rsid w:val="004748D9"/>
    <w:rsid w:val="00474B58"/>
    <w:rsid w:val="00474C83"/>
    <w:rsid w:val="00474EBE"/>
    <w:rsid w:val="00476A44"/>
    <w:rsid w:val="00476CEE"/>
    <w:rsid w:val="00480DA8"/>
    <w:rsid w:val="004829FE"/>
    <w:rsid w:val="00483200"/>
    <w:rsid w:val="00483625"/>
    <w:rsid w:val="004854F8"/>
    <w:rsid w:val="0048572B"/>
    <w:rsid w:val="004871B3"/>
    <w:rsid w:val="00487807"/>
    <w:rsid w:val="00487944"/>
    <w:rsid w:val="00490153"/>
    <w:rsid w:val="004908D4"/>
    <w:rsid w:val="00492522"/>
    <w:rsid w:val="00492CAF"/>
    <w:rsid w:val="00494561"/>
    <w:rsid w:val="00494FC5"/>
    <w:rsid w:val="00495B0A"/>
    <w:rsid w:val="00495F6A"/>
    <w:rsid w:val="00496E0E"/>
    <w:rsid w:val="004977CA"/>
    <w:rsid w:val="00497F63"/>
    <w:rsid w:val="004A0A56"/>
    <w:rsid w:val="004A12EC"/>
    <w:rsid w:val="004A1723"/>
    <w:rsid w:val="004A1D57"/>
    <w:rsid w:val="004A2462"/>
    <w:rsid w:val="004A2A46"/>
    <w:rsid w:val="004A3018"/>
    <w:rsid w:val="004A45FA"/>
    <w:rsid w:val="004A5050"/>
    <w:rsid w:val="004A7384"/>
    <w:rsid w:val="004A7843"/>
    <w:rsid w:val="004B329E"/>
    <w:rsid w:val="004B32FE"/>
    <w:rsid w:val="004B35BC"/>
    <w:rsid w:val="004B3D5E"/>
    <w:rsid w:val="004B3E8D"/>
    <w:rsid w:val="004B41C5"/>
    <w:rsid w:val="004B43AF"/>
    <w:rsid w:val="004B456D"/>
    <w:rsid w:val="004B50AE"/>
    <w:rsid w:val="004B5691"/>
    <w:rsid w:val="004B67FC"/>
    <w:rsid w:val="004B757F"/>
    <w:rsid w:val="004B7DF2"/>
    <w:rsid w:val="004C0183"/>
    <w:rsid w:val="004C0761"/>
    <w:rsid w:val="004C1F48"/>
    <w:rsid w:val="004C280F"/>
    <w:rsid w:val="004C352D"/>
    <w:rsid w:val="004C468D"/>
    <w:rsid w:val="004C554B"/>
    <w:rsid w:val="004C7470"/>
    <w:rsid w:val="004C753E"/>
    <w:rsid w:val="004C7812"/>
    <w:rsid w:val="004C7E89"/>
    <w:rsid w:val="004D3AE0"/>
    <w:rsid w:val="004D485B"/>
    <w:rsid w:val="004D4DDD"/>
    <w:rsid w:val="004D5110"/>
    <w:rsid w:val="004D53FC"/>
    <w:rsid w:val="004D5FF2"/>
    <w:rsid w:val="004D60A5"/>
    <w:rsid w:val="004D6528"/>
    <w:rsid w:val="004E017F"/>
    <w:rsid w:val="004E01C4"/>
    <w:rsid w:val="004E06E9"/>
    <w:rsid w:val="004E197E"/>
    <w:rsid w:val="004E2C11"/>
    <w:rsid w:val="004E2E25"/>
    <w:rsid w:val="004E58D2"/>
    <w:rsid w:val="004E5DDC"/>
    <w:rsid w:val="004F07E5"/>
    <w:rsid w:val="004F0B11"/>
    <w:rsid w:val="004F0D4F"/>
    <w:rsid w:val="004F0F57"/>
    <w:rsid w:val="004F21B9"/>
    <w:rsid w:val="004F2470"/>
    <w:rsid w:val="004F2D29"/>
    <w:rsid w:val="004F38B8"/>
    <w:rsid w:val="004F3C00"/>
    <w:rsid w:val="004F3C75"/>
    <w:rsid w:val="004F6ABA"/>
    <w:rsid w:val="004F6EE6"/>
    <w:rsid w:val="004F7268"/>
    <w:rsid w:val="004F7A38"/>
    <w:rsid w:val="004F7D03"/>
    <w:rsid w:val="005009A8"/>
    <w:rsid w:val="0050137C"/>
    <w:rsid w:val="005017BA"/>
    <w:rsid w:val="0050191F"/>
    <w:rsid w:val="00502117"/>
    <w:rsid w:val="00503379"/>
    <w:rsid w:val="00503688"/>
    <w:rsid w:val="005038F5"/>
    <w:rsid w:val="00503E51"/>
    <w:rsid w:val="00503EE0"/>
    <w:rsid w:val="00503EE8"/>
    <w:rsid w:val="00504EE0"/>
    <w:rsid w:val="0050535B"/>
    <w:rsid w:val="00505379"/>
    <w:rsid w:val="00505841"/>
    <w:rsid w:val="005074B6"/>
    <w:rsid w:val="00507660"/>
    <w:rsid w:val="00507840"/>
    <w:rsid w:val="005104BB"/>
    <w:rsid w:val="00510F4C"/>
    <w:rsid w:val="00511841"/>
    <w:rsid w:val="0051237D"/>
    <w:rsid w:val="00512564"/>
    <w:rsid w:val="005126A4"/>
    <w:rsid w:val="00513F6F"/>
    <w:rsid w:val="0051563A"/>
    <w:rsid w:val="00515ECB"/>
    <w:rsid w:val="00516B0B"/>
    <w:rsid w:val="0051710C"/>
    <w:rsid w:val="00520331"/>
    <w:rsid w:val="005216CA"/>
    <w:rsid w:val="00521B6A"/>
    <w:rsid w:val="005221CB"/>
    <w:rsid w:val="0052234D"/>
    <w:rsid w:val="00523217"/>
    <w:rsid w:val="00526159"/>
    <w:rsid w:val="00526FC9"/>
    <w:rsid w:val="00527D19"/>
    <w:rsid w:val="00530312"/>
    <w:rsid w:val="00530783"/>
    <w:rsid w:val="00530CAA"/>
    <w:rsid w:val="00530F27"/>
    <w:rsid w:val="00531B2C"/>
    <w:rsid w:val="00531BD7"/>
    <w:rsid w:val="00534D2C"/>
    <w:rsid w:val="0053555E"/>
    <w:rsid w:val="00536044"/>
    <w:rsid w:val="005367AF"/>
    <w:rsid w:val="00536B89"/>
    <w:rsid w:val="00536CE1"/>
    <w:rsid w:val="0053733A"/>
    <w:rsid w:val="005373F3"/>
    <w:rsid w:val="00537533"/>
    <w:rsid w:val="005401AF"/>
    <w:rsid w:val="00540586"/>
    <w:rsid w:val="005417CD"/>
    <w:rsid w:val="0054191E"/>
    <w:rsid w:val="0054201B"/>
    <w:rsid w:val="005424F5"/>
    <w:rsid w:val="005426F9"/>
    <w:rsid w:val="00542D7E"/>
    <w:rsid w:val="005438C6"/>
    <w:rsid w:val="005442CA"/>
    <w:rsid w:val="005474E6"/>
    <w:rsid w:val="00547F83"/>
    <w:rsid w:val="00551421"/>
    <w:rsid w:val="00553252"/>
    <w:rsid w:val="005535E3"/>
    <w:rsid w:val="0055391B"/>
    <w:rsid w:val="00554930"/>
    <w:rsid w:val="00554CC3"/>
    <w:rsid w:val="00555330"/>
    <w:rsid w:val="00556A53"/>
    <w:rsid w:val="00556BD7"/>
    <w:rsid w:val="005578DD"/>
    <w:rsid w:val="00557BF4"/>
    <w:rsid w:val="00557E37"/>
    <w:rsid w:val="005607C4"/>
    <w:rsid w:val="00560960"/>
    <w:rsid w:val="00560DD5"/>
    <w:rsid w:val="00561A97"/>
    <w:rsid w:val="00563B0F"/>
    <w:rsid w:val="0056434A"/>
    <w:rsid w:val="00565784"/>
    <w:rsid w:val="00565D44"/>
    <w:rsid w:val="005660B4"/>
    <w:rsid w:val="0056695E"/>
    <w:rsid w:val="005676B4"/>
    <w:rsid w:val="00567952"/>
    <w:rsid w:val="005702FB"/>
    <w:rsid w:val="00570790"/>
    <w:rsid w:val="005714ED"/>
    <w:rsid w:val="00571807"/>
    <w:rsid w:val="00571D96"/>
    <w:rsid w:val="005720BF"/>
    <w:rsid w:val="00572D8A"/>
    <w:rsid w:val="00572E71"/>
    <w:rsid w:val="005736E3"/>
    <w:rsid w:val="005737EC"/>
    <w:rsid w:val="00573AC7"/>
    <w:rsid w:val="00575829"/>
    <w:rsid w:val="0057589F"/>
    <w:rsid w:val="00577411"/>
    <w:rsid w:val="005803CD"/>
    <w:rsid w:val="0058052E"/>
    <w:rsid w:val="005814B7"/>
    <w:rsid w:val="005816FC"/>
    <w:rsid w:val="00581869"/>
    <w:rsid w:val="00581F9B"/>
    <w:rsid w:val="00583B84"/>
    <w:rsid w:val="0058430F"/>
    <w:rsid w:val="0058450E"/>
    <w:rsid w:val="005848B4"/>
    <w:rsid w:val="00584916"/>
    <w:rsid w:val="00584A0D"/>
    <w:rsid w:val="00584C2C"/>
    <w:rsid w:val="005856C6"/>
    <w:rsid w:val="005861B6"/>
    <w:rsid w:val="00586916"/>
    <w:rsid w:val="00587AFE"/>
    <w:rsid w:val="00593262"/>
    <w:rsid w:val="00593467"/>
    <w:rsid w:val="00593EE5"/>
    <w:rsid w:val="005943CB"/>
    <w:rsid w:val="00594456"/>
    <w:rsid w:val="0059495A"/>
    <w:rsid w:val="00594D9A"/>
    <w:rsid w:val="00595263"/>
    <w:rsid w:val="005A031D"/>
    <w:rsid w:val="005A06D4"/>
    <w:rsid w:val="005A0E8C"/>
    <w:rsid w:val="005A185B"/>
    <w:rsid w:val="005A2798"/>
    <w:rsid w:val="005A3617"/>
    <w:rsid w:val="005A384F"/>
    <w:rsid w:val="005A42C0"/>
    <w:rsid w:val="005A56A4"/>
    <w:rsid w:val="005A5CF7"/>
    <w:rsid w:val="005A6341"/>
    <w:rsid w:val="005A6511"/>
    <w:rsid w:val="005A6EB7"/>
    <w:rsid w:val="005A7B5B"/>
    <w:rsid w:val="005B0631"/>
    <w:rsid w:val="005B3518"/>
    <w:rsid w:val="005B41CA"/>
    <w:rsid w:val="005B5B81"/>
    <w:rsid w:val="005B5F4C"/>
    <w:rsid w:val="005B65B2"/>
    <w:rsid w:val="005B71FB"/>
    <w:rsid w:val="005C1A32"/>
    <w:rsid w:val="005C1B2E"/>
    <w:rsid w:val="005C21FA"/>
    <w:rsid w:val="005C2842"/>
    <w:rsid w:val="005C32EB"/>
    <w:rsid w:val="005C3369"/>
    <w:rsid w:val="005C554C"/>
    <w:rsid w:val="005C5989"/>
    <w:rsid w:val="005C6C51"/>
    <w:rsid w:val="005C6E99"/>
    <w:rsid w:val="005D00B7"/>
    <w:rsid w:val="005D0D3F"/>
    <w:rsid w:val="005D112C"/>
    <w:rsid w:val="005D1834"/>
    <w:rsid w:val="005D28B7"/>
    <w:rsid w:val="005D4088"/>
    <w:rsid w:val="005D51DE"/>
    <w:rsid w:val="005D53B6"/>
    <w:rsid w:val="005D5437"/>
    <w:rsid w:val="005D5A90"/>
    <w:rsid w:val="005D6D7E"/>
    <w:rsid w:val="005D725E"/>
    <w:rsid w:val="005E4BC3"/>
    <w:rsid w:val="005E5816"/>
    <w:rsid w:val="005E5820"/>
    <w:rsid w:val="005E6237"/>
    <w:rsid w:val="005E624A"/>
    <w:rsid w:val="005E6BE9"/>
    <w:rsid w:val="005E7B1D"/>
    <w:rsid w:val="005F24E6"/>
    <w:rsid w:val="005F2F2E"/>
    <w:rsid w:val="005F324E"/>
    <w:rsid w:val="005F4B6C"/>
    <w:rsid w:val="005F4E97"/>
    <w:rsid w:val="005F5126"/>
    <w:rsid w:val="005F67EA"/>
    <w:rsid w:val="005F6F31"/>
    <w:rsid w:val="005F6F84"/>
    <w:rsid w:val="005F7717"/>
    <w:rsid w:val="005F7AA7"/>
    <w:rsid w:val="005F7D60"/>
    <w:rsid w:val="006000D9"/>
    <w:rsid w:val="00600CE1"/>
    <w:rsid w:val="006014B6"/>
    <w:rsid w:val="00601936"/>
    <w:rsid w:val="0060228B"/>
    <w:rsid w:val="0060316A"/>
    <w:rsid w:val="0060434F"/>
    <w:rsid w:val="00604858"/>
    <w:rsid w:val="006050EE"/>
    <w:rsid w:val="006051A3"/>
    <w:rsid w:val="006053DE"/>
    <w:rsid w:val="0060618D"/>
    <w:rsid w:val="00607E90"/>
    <w:rsid w:val="00611099"/>
    <w:rsid w:val="00611443"/>
    <w:rsid w:val="00612A04"/>
    <w:rsid w:val="00612D8D"/>
    <w:rsid w:val="00614724"/>
    <w:rsid w:val="006152A2"/>
    <w:rsid w:val="00615D54"/>
    <w:rsid w:val="00616684"/>
    <w:rsid w:val="00616F9C"/>
    <w:rsid w:val="00617974"/>
    <w:rsid w:val="006211BC"/>
    <w:rsid w:val="006222B0"/>
    <w:rsid w:val="00624399"/>
    <w:rsid w:val="006250FB"/>
    <w:rsid w:val="006252BD"/>
    <w:rsid w:val="00626214"/>
    <w:rsid w:val="00626273"/>
    <w:rsid w:val="00626E96"/>
    <w:rsid w:val="006278C0"/>
    <w:rsid w:val="00627D9C"/>
    <w:rsid w:val="00631E30"/>
    <w:rsid w:val="00633253"/>
    <w:rsid w:val="00633FD6"/>
    <w:rsid w:val="006343B2"/>
    <w:rsid w:val="00634978"/>
    <w:rsid w:val="006349AE"/>
    <w:rsid w:val="00634F83"/>
    <w:rsid w:val="006351A2"/>
    <w:rsid w:val="00635656"/>
    <w:rsid w:val="006358DB"/>
    <w:rsid w:val="00635C86"/>
    <w:rsid w:val="00635F90"/>
    <w:rsid w:val="00637636"/>
    <w:rsid w:val="006407F1"/>
    <w:rsid w:val="006408DC"/>
    <w:rsid w:val="00641E93"/>
    <w:rsid w:val="00642C7A"/>
    <w:rsid w:val="00643344"/>
    <w:rsid w:val="00644947"/>
    <w:rsid w:val="00644A8B"/>
    <w:rsid w:val="006479FD"/>
    <w:rsid w:val="00647A7B"/>
    <w:rsid w:val="00647D86"/>
    <w:rsid w:val="00652006"/>
    <w:rsid w:val="0065246C"/>
    <w:rsid w:val="0065549B"/>
    <w:rsid w:val="00661D55"/>
    <w:rsid w:val="0066436C"/>
    <w:rsid w:val="006651FC"/>
    <w:rsid w:val="00665241"/>
    <w:rsid w:val="00665277"/>
    <w:rsid w:val="00665350"/>
    <w:rsid w:val="006655A4"/>
    <w:rsid w:val="006664DF"/>
    <w:rsid w:val="0066720F"/>
    <w:rsid w:val="00667719"/>
    <w:rsid w:val="00671C60"/>
    <w:rsid w:val="006725FC"/>
    <w:rsid w:val="00672E7A"/>
    <w:rsid w:val="006736ED"/>
    <w:rsid w:val="00673DC6"/>
    <w:rsid w:val="00674C23"/>
    <w:rsid w:val="00675241"/>
    <w:rsid w:val="00675624"/>
    <w:rsid w:val="00675D68"/>
    <w:rsid w:val="00676580"/>
    <w:rsid w:val="00676F44"/>
    <w:rsid w:val="00676FF0"/>
    <w:rsid w:val="0067748D"/>
    <w:rsid w:val="00677875"/>
    <w:rsid w:val="00677C85"/>
    <w:rsid w:val="00680748"/>
    <w:rsid w:val="00680AF7"/>
    <w:rsid w:val="00681CD4"/>
    <w:rsid w:val="006827E4"/>
    <w:rsid w:val="006834C6"/>
    <w:rsid w:val="006839D2"/>
    <w:rsid w:val="006851AB"/>
    <w:rsid w:val="00685A98"/>
    <w:rsid w:val="006867F9"/>
    <w:rsid w:val="00686948"/>
    <w:rsid w:val="0068751C"/>
    <w:rsid w:val="00691CC4"/>
    <w:rsid w:val="00691F10"/>
    <w:rsid w:val="00692482"/>
    <w:rsid w:val="0069273F"/>
    <w:rsid w:val="00693BED"/>
    <w:rsid w:val="006942F4"/>
    <w:rsid w:val="00694FC1"/>
    <w:rsid w:val="006950B9"/>
    <w:rsid w:val="00695779"/>
    <w:rsid w:val="00695965"/>
    <w:rsid w:val="006960B5"/>
    <w:rsid w:val="0069772B"/>
    <w:rsid w:val="006A082A"/>
    <w:rsid w:val="006A1B9F"/>
    <w:rsid w:val="006A3251"/>
    <w:rsid w:val="006A3E2C"/>
    <w:rsid w:val="006A4C65"/>
    <w:rsid w:val="006A551E"/>
    <w:rsid w:val="006A5CF6"/>
    <w:rsid w:val="006A7B8B"/>
    <w:rsid w:val="006A7F45"/>
    <w:rsid w:val="006B03E4"/>
    <w:rsid w:val="006B04CE"/>
    <w:rsid w:val="006B0FA2"/>
    <w:rsid w:val="006B17E1"/>
    <w:rsid w:val="006B3540"/>
    <w:rsid w:val="006B4560"/>
    <w:rsid w:val="006B4C68"/>
    <w:rsid w:val="006B52B0"/>
    <w:rsid w:val="006B53E2"/>
    <w:rsid w:val="006B5478"/>
    <w:rsid w:val="006B6202"/>
    <w:rsid w:val="006B6CBA"/>
    <w:rsid w:val="006B6D42"/>
    <w:rsid w:val="006B7F85"/>
    <w:rsid w:val="006C0080"/>
    <w:rsid w:val="006C1274"/>
    <w:rsid w:val="006C1C1B"/>
    <w:rsid w:val="006C1DD6"/>
    <w:rsid w:val="006C3485"/>
    <w:rsid w:val="006C3518"/>
    <w:rsid w:val="006C3FD7"/>
    <w:rsid w:val="006C44E9"/>
    <w:rsid w:val="006C4C77"/>
    <w:rsid w:val="006C6430"/>
    <w:rsid w:val="006C7269"/>
    <w:rsid w:val="006C7539"/>
    <w:rsid w:val="006C757B"/>
    <w:rsid w:val="006D1BF1"/>
    <w:rsid w:val="006D34BA"/>
    <w:rsid w:val="006D374D"/>
    <w:rsid w:val="006D3FDB"/>
    <w:rsid w:val="006D658C"/>
    <w:rsid w:val="006E18CB"/>
    <w:rsid w:val="006E282A"/>
    <w:rsid w:val="006E33DB"/>
    <w:rsid w:val="006E3482"/>
    <w:rsid w:val="006E3598"/>
    <w:rsid w:val="006E4DEC"/>
    <w:rsid w:val="006E54E8"/>
    <w:rsid w:val="006E59B8"/>
    <w:rsid w:val="006E5F70"/>
    <w:rsid w:val="006E5F96"/>
    <w:rsid w:val="006E6627"/>
    <w:rsid w:val="006E67EA"/>
    <w:rsid w:val="006E6CE4"/>
    <w:rsid w:val="006E701B"/>
    <w:rsid w:val="006E7CC8"/>
    <w:rsid w:val="006F04ED"/>
    <w:rsid w:val="006F0A51"/>
    <w:rsid w:val="006F255E"/>
    <w:rsid w:val="006F354E"/>
    <w:rsid w:val="006F3D64"/>
    <w:rsid w:val="006F5D4E"/>
    <w:rsid w:val="006F647A"/>
    <w:rsid w:val="006F657F"/>
    <w:rsid w:val="006F71D2"/>
    <w:rsid w:val="006F746C"/>
    <w:rsid w:val="006F7975"/>
    <w:rsid w:val="006F7A4C"/>
    <w:rsid w:val="006F7ECD"/>
    <w:rsid w:val="00702AC5"/>
    <w:rsid w:val="00702EBB"/>
    <w:rsid w:val="00703CBC"/>
    <w:rsid w:val="00704EC3"/>
    <w:rsid w:val="00704FE4"/>
    <w:rsid w:val="007053BC"/>
    <w:rsid w:val="00705DFE"/>
    <w:rsid w:val="00707612"/>
    <w:rsid w:val="00707A8F"/>
    <w:rsid w:val="00707AF7"/>
    <w:rsid w:val="00713DB8"/>
    <w:rsid w:val="007151CF"/>
    <w:rsid w:val="00715514"/>
    <w:rsid w:val="0071598D"/>
    <w:rsid w:val="00715B36"/>
    <w:rsid w:val="007164AA"/>
    <w:rsid w:val="00716AF1"/>
    <w:rsid w:val="007172F1"/>
    <w:rsid w:val="00717757"/>
    <w:rsid w:val="00720AF1"/>
    <w:rsid w:val="00720EDD"/>
    <w:rsid w:val="00721618"/>
    <w:rsid w:val="00721BA4"/>
    <w:rsid w:val="00721F36"/>
    <w:rsid w:val="00722B5D"/>
    <w:rsid w:val="007252EE"/>
    <w:rsid w:val="0072595B"/>
    <w:rsid w:val="00725EA1"/>
    <w:rsid w:val="00726887"/>
    <w:rsid w:val="00726A4A"/>
    <w:rsid w:val="00726DC3"/>
    <w:rsid w:val="007333B9"/>
    <w:rsid w:val="007338B8"/>
    <w:rsid w:val="00733B6F"/>
    <w:rsid w:val="0073427D"/>
    <w:rsid w:val="00740EAC"/>
    <w:rsid w:val="007412C3"/>
    <w:rsid w:val="00742D26"/>
    <w:rsid w:val="0074344B"/>
    <w:rsid w:val="00743A27"/>
    <w:rsid w:val="00745275"/>
    <w:rsid w:val="00745E9A"/>
    <w:rsid w:val="007463F0"/>
    <w:rsid w:val="00747F05"/>
    <w:rsid w:val="007504C4"/>
    <w:rsid w:val="00750573"/>
    <w:rsid w:val="00750EA1"/>
    <w:rsid w:val="00751254"/>
    <w:rsid w:val="00752242"/>
    <w:rsid w:val="00752484"/>
    <w:rsid w:val="00752FE4"/>
    <w:rsid w:val="00754216"/>
    <w:rsid w:val="007546DB"/>
    <w:rsid w:val="00756E48"/>
    <w:rsid w:val="007577DC"/>
    <w:rsid w:val="00760C19"/>
    <w:rsid w:val="0076184E"/>
    <w:rsid w:val="0076214F"/>
    <w:rsid w:val="00764377"/>
    <w:rsid w:val="007649B9"/>
    <w:rsid w:val="0076519F"/>
    <w:rsid w:val="00767399"/>
    <w:rsid w:val="00767A38"/>
    <w:rsid w:val="00767BB1"/>
    <w:rsid w:val="007708DD"/>
    <w:rsid w:val="00770CE8"/>
    <w:rsid w:val="00771668"/>
    <w:rsid w:val="00772491"/>
    <w:rsid w:val="00772BE1"/>
    <w:rsid w:val="007730F1"/>
    <w:rsid w:val="0077341A"/>
    <w:rsid w:val="007734FC"/>
    <w:rsid w:val="007737B6"/>
    <w:rsid w:val="00773818"/>
    <w:rsid w:val="00774F22"/>
    <w:rsid w:val="00775A4F"/>
    <w:rsid w:val="00776DD5"/>
    <w:rsid w:val="00777172"/>
    <w:rsid w:val="00777D08"/>
    <w:rsid w:val="00780C94"/>
    <w:rsid w:val="00781656"/>
    <w:rsid w:val="007816E7"/>
    <w:rsid w:val="00781E62"/>
    <w:rsid w:val="00782307"/>
    <w:rsid w:val="00782F74"/>
    <w:rsid w:val="00783551"/>
    <w:rsid w:val="00784F23"/>
    <w:rsid w:val="007851FC"/>
    <w:rsid w:val="0078560A"/>
    <w:rsid w:val="00785BF8"/>
    <w:rsid w:val="00786230"/>
    <w:rsid w:val="00786561"/>
    <w:rsid w:val="007868DC"/>
    <w:rsid w:val="00787012"/>
    <w:rsid w:val="00787544"/>
    <w:rsid w:val="00790CB6"/>
    <w:rsid w:val="00791DCE"/>
    <w:rsid w:val="0079226E"/>
    <w:rsid w:val="00792890"/>
    <w:rsid w:val="00793C28"/>
    <w:rsid w:val="00794935"/>
    <w:rsid w:val="00795803"/>
    <w:rsid w:val="00796005"/>
    <w:rsid w:val="00797B1B"/>
    <w:rsid w:val="007A05ED"/>
    <w:rsid w:val="007A2781"/>
    <w:rsid w:val="007A27AA"/>
    <w:rsid w:val="007A45CE"/>
    <w:rsid w:val="007A55B0"/>
    <w:rsid w:val="007A6C54"/>
    <w:rsid w:val="007A6E48"/>
    <w:rsid w:val="007A705F"/>
    <w:rsid w:val="007A755B"/>
    <w:rsid w:val="007B0DDC"/>
    <w:rsid w:val="007B11DD"/>
    <w:rsid w:val="007B1A3E"/>
    <w:rsid w:val="007B2073"/>
    <w:rsid w:val="007B24CD"/>
    <w:rsid w:val="007B262D"/>
    <w:rsid w:val="007B2B6A"/>
    <w:rsid w:val="007B4EFF"/>
    <w:rsid w:val="007B5415"/>
    <w:rsid w:val="007B57CD"/>
    <w:rsid w:val="007B5E0B"/>
    <w:rsid w:val="007B6F4A"/>
    <w:rsid w:val="007B767A"/>
    <w:rsid w:val="007B7E2C"/>
    <w:rsid w:val="007C0902"/>
    <w:rsid w:val="007C0C3F"/>
    <w:rsid w:val="007C0E6F"/>
    <w:rsid w:val="007C1151"/>
    <w:rsid w:val="007C131B"/>
    <w:rsid w:val="007C1577"/>
    <w:rsid w:val="007C2B34"/>
    <w:rsid w:val="007C34BB"/>
    <w:rsid w:val="007C3E50"/>
    <w:rsid w:val="007C62EF"/>
    <w:rsid w:val="007C66DC"/>
    <w:rsid w:val="007C7084"/>
    <w:rsid w:val="007C709C"/>
    <w:rsid w:val="007D0172"/>
    <w:rsid w:val="007D0F81"/>
    <w:rsid w:val="007D407D"/>
    <w:rsid w:val="007D4512"/>
    <w:rsid w:val="007D4BB4"/>
    <w:rsid w:val="007D670D"/>
    <w:rsid w:val="007D7EA9"/>
    <w:rsid w:val="007E3F10"/>
    <w:rsid w:val="007E48FB"/>
    <w:rsid w:val="007E50D8"/>
    <w:rsid w:val="007E56C5"/>
    <w:rsid w:val="007E7A4A"/>
    <w:rsid w:val="007E7D06"/>
    <w:rsid w:val="007F08FF"/>
    <w:rsid w:val="007F0D98"/>
    <w:rsid w:val="007F1CE6"/>
    <w:rsid w:val="007F2E0A"/>
    <w:rsid w:val="007F3814"/>
    <w:rsid w:val="007F4762"/>
    <w:rsid w:val="007F47CA"/>
    <w:rsid w:val="007F6508"/>
    <w:rsid w:val="007F7CEF"/>
    <w:rsid w:val="00802583"/>
    <w:rsid w:val="008025A0"/>
    <w:rsid w:val="008026DC"/>
    <w:rsid w:val="00802DDE"/>
    <w:rsid w:val="00802EA2"/>
    <w:rsid w:val="008032DD"/>
    <w:rsid w:val="0080435B"/>
    <w:rsid w:val="00804FD8"/>
    <w:rsid w:val="008052B0"/>
    <w:rsid w:val="00805D85"/>
    <w:rsid w:val="00806546"/>
    <w:rsid w:val="00810DB9"/>
    <w:rsid w:val="008114F5"/>
    <w:rsid w:val="0081158B"/>
    <w:rsid w:val="00811654"/>
    <w:rsid w:val="008117DB"/>
    <w:rsid w:val="008126F7"/>
    <w:rsid w:val="00812969"/>
    <w:rsid w:val="00812C0D"/>
    <w:rsid w:val="008134C5"/>
    <w:rsid w:val="008138BD"/>
    <w:rsid w:val="00813FDE"/>
    <w:rsid w:val="008140F8"/>
    <w:rsid w:val="008147E7"/>
    <w:rsid w:val="00814A8E"/>
    <w:rsid w:val="008153D3"/>
    <w:rsid w:val="008156F7"/>
    <w:rsid w:val="00816286"/>
    <w:rsid w:val="00816577"/>
    <w:rsid w:val="008165DE"/>
    <w:rsid w:val="00816A9B"/>
    <w:rsid w:val="00817315"/>
    <w:rsid w:val="008173BD"/>
    <w:rsid w:val="00817753"/>
    <w:rsid w:val="00820576"/>
    <w:rsid w:val="008206E2"/>
    <w:rsid w:val="0082146C"/>
    <w:rsid w:val="008216F7"/>
    <w:rsid w:val="008217FB"/>
    <w:rsid w:val="008225C9"/>
    <w:rsid w:val="00822631"/>
    <w:rsid w:val="00822900"/>
    <w:rsid w:val="00824CBF"/>
    <w:rsid w:val="00826653"/>
    <w:rsid w:val="00826809"/>
    <w:rsid w:val="00827DE9"/>
    <w:rsid w:val="008350CD"/>
    <w:rsid w:val="00837A4F"/>
    <w:rsid w:val="00841729"/>
    <w:rsid w:val="00841AC3"/>
    <w:rsid w:val="00841C74"/>
    <w:rsid w:val="0084250C"/>
    <w:rsid w:val="008425D0"/>
    <w:rsid w:val="00843144"/>
    <w:rsid w:val="0084334C"/>
    <w:rsid w:val="00843642"/>
    <w:rsid w:val="00843E58"/>
    <w:rsid w:val="0084478E"/>
    <w:rsid w:val="00844A61"/>
    <w:rsid w:val="00844C0E"/>
    <w:rsid w:val="00846D79"/>
    <w:rsid w:val="00847392"/>
    <w:rsid w:val="008503F8"/>
    <w:rsid w:val="00851368"/>
    <w:rsid w:val="00851EDC"/>
    <w:rsid w:val="00852869"/>
    <w:rsid w:val="0085360F"/>
    <w:rsid w:val="00854867"/>
    <w:rsid w:val="00855A76"/>
    <w:rsid w:val="00856274"/>
    <w:rsid w:val="00856558"/>
    <w:rsid w:val="00856DB6"/>
    <w:rsid w:val="008572F7"/>
    <w:rsid w:val="008573DE"/>
    <w:rsid w:val="00857886"/>
    <w:rsid w:val="00857DB9"/>
    <w:rsid w:val="00857F56"/>
    <w:rsid w:val="0086006E"/>
    <w:rsid w:val="0086024D"/>
    <w:rsid w:val="00860487"/>
    <w:rsid w:val="008606A5"/>
    <w:rsid w:val="008606E9"/>
    <w:rsid w:val="008613B8"/>
    <w:rsid w:val="008614E2"/>
    <w:rsid w:val="00862F7B"/>
    <w:rsid w:val="0086339E"/>
    <w:rsid w:val="00864921"/>
    <w:rsid w:val="00864BDE"/>
    <w:rsid w:val="00865153"/>
    <w:rsid w:val="00865B0B"/>
    <w:rsid w:val="00865BB4"/>
    <w:rsid w:val="0086736A"/>
    <w:rsid w:val="008674B6"/>
    <w:rsid w:val="008676F3"/>
    <w:rsid w:val="008706A1"/>
    <w:rsid w:val="008715C8"/>
    <w:rsid w:val="00871F8E"/>
    <w:rsid w:val="00872276"/>
    <w:rsid w:val="00873F89"/>
    <w:rsid w:val="00874162"/>
    <w:rsid w:val="00875B25"/>
    <w:rsid w:val="00876268"/>
    <w:rsid w:val="008767E4"/>
    <w:rsid w:val="0087683D"/>
    <w:rsid w:val="0087723D"/>
    <w:rsid w:val="00880DDF"/>
    <w:rsid w:val="00881271"/>
    <w:rsid w:val="008817C4"/>
    <w:rsid w:val="00882588"/>
    <w:rsid w:val="008827DB"/>
    <w:rsid w:val="00882C99"/>
    <w:rsid w:val="00882D63"/>
    <w:rsid w:val="00885C30"/>
    <w:rsid w:val="00886155"/>
    <w:rsid w:val="008871BE"/>
    <w:rsid w:val="00887410"/>
    <w:rsid w:val="00887F56"/>
    <w:rsid w:val="008909A1"/>
    <w:rsid w:val="00890BB5"/>
    <w:rsid w:val="00890DB2"/>
    <w:rsid w:val="0089240C"/>
    <w:rsid w:val="00892981"/>
    <w:rsid w:val="00892B7E"/>
    <w:rsid w:val="0089456E"/>
    <w:rsid w:val="00895AF0"/>
    <w:rsid w:val="00895C97"/>
    <w:rsid w:val="0089639D"/>
    <w:rsid w:val="00896D79"/>
    <w:rsid w:val="008970D8"/>
    <w:rsid w:val="00897D59"/>
    <w:rsid w:val="008A005F"/>
    <w:rsid w:val="008A159B"/>
    <w:rsid w:val="008A20F6"/>
    <w:rsid w:val="008A26BE"/>
    <w:rsid w:val="008A3403"/>
    <w:rsid w:val="008A401F"/>
    <w:rsid w:val="008A4046"/>
    <w:rsid w:val="008A689A"/>
    <w:rsid w:val="008A6E06"/>
    <w:rsid w:val="008A76A4"/>
    <w:rsid w:val="008B2D5E"/>
    <w:rsid w:val="008B30F6"/>
    <w:rsid w:val="008B37DF"/>
    <w:rsid w:val="008B3804"/>
    <w:rsid w:val="008B4146"/>
    <w:rsid w:val="008B564C"/>
    <w:rsid w:val="008B6AC5"/>
    <w:rsid w:val="008B6F8D"/>
    <w:rsid w:val="008C019C"/>
    <w:rsid w:val="008C05C7"/>
    <w:rsid w:val="008C0850"/>
    <w:rsid w:val="008C0CA6"/>
    <w:rsid w:val="008C1895"/>
    <w:rsid w:val="008C1CF8"/>
    <w:rsid w:val="008C2C51"/>
    <w:rsid w:val="008C3587"/>
    <w:rsid w:val="008C45E1"/>
    <w:rsid w:val="008C4F77"/>
    <w:rsid w:val="008C5C1C"/>
    <w:rsid w:val="008D1036"/>
    <w:rsid w:val="008D11E6"/>
    <w:rsid w:val="008D16A4"/>
    <w:rsid w:val="008D1AF3"/>
    <w:rsid w:val="008D3839"/>
    <w:rsid w:val="008D4015"/>
    <w:rsid w:val="008D4571"/>
    <w:rsid w:val="008D4DCD"/>
    <w:rsid w:val="008D4E10"/>
    <w:rsid w:val="008D563A"/>
    <w:rsid w:val="008D5677"/>
    <w:rsid w:val="008D61F4"/>
    <w:rsid w:val="008D6489"/>
    <w:rsid w:val="008D7010"/>
    <w:rsid w:val="008D7F12"/>
    <w:rsid w:val="008E0238"/>
    <w:rsid w:val="008E09E7"/>
    <w:rsid w:val="008E1598"/>
    <w:rsid w:val="008E1C06"/>
    <w:rsid w:val="008E29EB"/>
    <w:rsid w:val="008E4093"/>
    <w:rsid w:val="008E4468"/>
    <w:rsid w:val="008E4DEC"/>
    <w:rsid w:val="008E4F2B"/>
    <w:rsid w:val="008E55AE"/>
    <w:rsid w:val="008E5E7B"/>
    <w:rsid w:val="008E6929"/>
    <w:rsid w:val="008E69BF"/>
    <w:rsid w:val="008E7C9B"/>
    <w:rsid w:val="008E7DE7"/>
    <w:rsid w:val="008F1EF5"/>
    <w:rsid w:val="008F27CE"/>
    <w:rsid w:val="008F37CB"/>
    <w:rsid w:val="008F38C7"/>
    <w:rsid w:val="008F3C4D"/>
    <w:rsid w:val="008F580D"/>
    <w:rsid w:val="008F764E"/>
    <w:rsid w:val="00900814"/>
    <w:rsid w:val="00900C1A"/>
    <w:rsid w:val="009052FB"/>
    <w:rsid w:val="0090674B"/>
    <w:rsid w:val="009070F0"/>
    <w:rsid w:val="0090766A"/>
    <w:rsid w:val="00907834"/>
    <w:rsid w:val="00907D17"/>
    <w:rsid w:val="00910F15"/>
    <w:rsid w:val="009137CD"/>
    <w:rsid w:val="00913E69"/>
    <w:rsid w:val="0091456D"/>
    <w:rsid w:val="00915EEF"/>
    <w:rsid w:val="009170F7"/>
    <w:rsid w:val="00920686"/>
    <w:rsid w:val="00921681"/>
    <w:rsid w:val="00921962"/>
    <w:rsid w:val="00921AC2"/>
    <w:rsid w:val="00921AE5"/>
    <w:rsid w:val="00921CAF"/>
    <w:rsid w:val="00922425"/>
    <w:rsid w:val="00922A65"/>
    <w:rsid w:val="00923FC9"/>
    <w:rsid w:val="009242B7"/>
    <w:rsid w:val="00924842"/>
    <w:rsid w:val="00926242"/>
    <w:rsid w:val="009273EC"/>
    <w:rsid w:val="009273F8"/>
    <w:rsid w:val="009320FA"/>
    <w:rsid w:val="009327B1"/>
    <w:rsid w:val="009342CC"/>
    <w:rsid w:val="009360AB"/>
    <w:rsid w:val="00936550"/>
    <w:rsid w:val="009367E2"/>
    <w:rsid w:val="00937F69"/>
    <w:rsid w:val="0094223C"/>
    <w:rsid w:val="00942A51"/>
    <w:rsid w:val="00942F2E"/>
    <w:rsid w:val="00943E6B"/>
    <w:rsid w:val="00944337"/>
    <w:rsid w:val="00945544"/>
    <w:rsid w:val="00945948"/>
    <w:rsid w:val="00945A9B"/>
    <w:rsid w:val="00945C87"/>
    <w:rsid w:val="00946EF9"/>
    <w:rsid w:val="00947080"/>
    <w:rsid w:val="00947123"/>
    <w:rsid w:val="009501F9"/>
    <w:rsid w:val="00950319"/>
    <w:rsid w:val="009509E9"/>
    <w:rsid w:val="00950A71"/>
    <w:rsid w:val="00950C03"/>
    <w:rsid w:val="009523EE"/>
    <w:rsid w:val="009525E5"/>
    <w:rsid w:val="00952A72"/>
    <w:rsid w:val="00955E6F"/>
    <w:rsid w:val="00955FBB"/>
    <w:rsid w:val="009562A0"/>
    <w:rsid w:val="00956692"/>
    <w:rsid w:val="00957662"/>
    <w:rsid w:val="00957952"/>
    <w:rsid w:val="00957DF4"/>
    <w:rsid w:val="00960464"/>
    <w:rsid w:val="00960C1E"/>
    <w:rsid w:val="00960E2D"/>
    <w:rsid w:val="009623C7"/>
    <w:rsid w:val="00963446"/>
    <w:rsid w:val="00963858"/>
    <w:rsid w:val="00964535"/>
    <w:rsid w:val="0096509B"/>
    <w:rsid w:val="00965A44"/>
    <w:rsid w:val="009664E0"/>
    <w:rsid w:val="00966717"/>
    <w:rsid w:val="009704E5"/>
    <w:rsid w:val="009707C5"/>
    <w:rsid w:val="00970E29"/>
    <w:rsid w:val="0097274B"/>
    <w:rsid w:val="009735E6"/>
    <w:rsid w:val="00973B58"/>
    <w:rsid w:val="00973DB7"/>
    <w:rsid w:val="009745FE"/>
    <w:rsid w:val="00975A00"/>
    <w:rsid w:val="00975B3E"/>
    <w:rsid w:val="00975EE0"/>
    <w:rsid w:val="00976110"/>
    <w:rsid w:val="009763B7"/>
    <w:rsid w:val="00977A94"/>
    <w:rsid w:val="009801E3"/>
    <w:rsid w:val="009803A0"/>
    <w:rsid w:val="00980F7D"/>
    <w:rsid w:val="009813A9"/>
    <w:rsid w:val="009815CD"/>
    <w:rsid w:val="00981AAB"/>
    <w:rsid w:val="00981EAD"/>
    <w:rsid w:val="00981EBA"/>
    <w:rsid w:val="00981F72"/>
    <w:rsid w:val="0098301A"/>
    <w:rsid w:val="0098781B"/>
    <w:rsid w:val="0099006D"/>
    <w:rsid w:val="00992D3F"/>
    <w:rsid w:val="00993850"/>
    <w:rsid w:val="00994EB9"/>
    <w:rsid w:val="00995920"/>
    <w:rsid w:val="00996B5E"/>
    <w:rsid w:val="009A146D"/>
    <w:rsid w:val="009A2FD9"/>
    <w:rsid w:val="009A38B6"/>
    <w:rsid w:val="009A5896"/>
    <w:rsid w:val="009A59F3"/>
    <w:rsid w:val="009A68A0"/>
    <w:rsid w:val="009A7746"/>
    <w:rsid w:val="009B15DE"/>
    <w:rsid w:val="009B202B"/>
    <w:rsid w:val="009B347D"/>
    <w:rsid w:val="009B3B58"/>
    <w:rsid w:val="009B3C01"/>
    <w:rsid w:val="009B42BB"/>
    <w:rsid w:val="009B5056"/>
    <w:rsid w:val="009B5375"/>
    <w:rsid w:val="009B5E8F"/>
    <w:rsid w:val="009B60B4"/>
    <w:rsid w:val="009B690F"/>
    <w:rsid w:val="009B6C74"/>
    <w:rsid w:val="009B73F1"/>
    <w:rsid w:val="009C15DA"/>
    <w:rsid w:val="009C207C"/>
    <w:rsid w:val="009C2327"/>
    <w:rsid w:val="009C2821"/>
    <w:rsid w:val="009C38E1"/>
    <w:rsid w:val="009C482A"/>
    <w:rsid w:val="009C5285"/>
    <w:rsid w:val="009C6626"/>
    <w:rsid w:val="009C72D3"/>
    <w:rsid w:val="009C7430"/>
    <w:rsid w:val="009C7E3E"/>
    <w:rsid w:val="009D00D3"/>
    <w:rsid w:val="009D05DF"/>
    <w:rsid w:val="009D1AE9"/>
    <w:rsid w:val="009D2206"/>
    <w:rsid w:val="009D2340"/>
    <w:rsid w:val="009D325B"/>
    <w:rsid w:val="009D36DA"/>
    <w:rsid w:val="009D3BAC"/>
    <w:rsid w:val="009D45B8"/>
    <w:rsid w:val="009D4FE9"/>
    <w:rsid w:val="009D594F"/>
    <w:rsid w:val="009D5D10"/>
    <w:rsid w:val="009D624F"/>
    <w:rsid w:val="009D63B0"/>
    <w:rsid w:val="009D694A"/>
    <w:rsid w:val="009E0C7F"/>
    <w:rsid w:val="009E1186"/>
    <w:rsid w:val="009E1997"/>
    <w:rsid w:val="009E2774"/>
    <w:rsid w:val="009E2CC7"/>
    <w:rsid w:val="009E4092"/>
    <w:rsid w:val="009E436D"/>
    <w:rsid w:val="009E65DD"/>
    <w:rsid w:val="009E6A84"/>
    <w:rsid w:val="009F1D78"/>
    <w:rsid w:val="009F2DBE"/>
    <w:rsid w:val="009F3CD6"/>
    <w:rsid w:val="009F4782"/>
    <w:rsid w:val="009F4D94"/>
    <w:rsid w:val="009F4E4E"/>
    <w:rsid w:val="009F5289"/>
    <w:rsid w:val="009F5514"/>
    <w:rsid w:val="009F5BF3"/>
    <w:rsid w:val="009F665C"/>
    <w:rsid w:val="009F7AC6"/>
    <w:rsid w:val="00A0023F"/>
    <w:rsid w:val="00A011EA"/>
    <w:rsid w:val="00A015E5"/>
    <w:rsid w:val="00A04FC1"/>
    <w:rsid w:val="00A06651"/>
    <w:rsid w:val="00A074FC"/>
    <w:rsid w:val="00A07979"/>
    <w:rsid w:val="00A07EA5"/>
    <w:rsid w:val="00A07EC3"/>
    <w:rsid w:val="00A11497"/>
    <w:rsid w:val="00A12814"/>
    <w:rsid w:val="00A12E1E"/>
    <w:rsid w:val="00A131B3"/>
    <w:rsid w:val="00A13688"/>
    <w:rsid w:val="00A1423C"/>
    <w:rsid w:val="00A14942"/>
    <w:rsid w:val="00A15540"/>
    <w:rsid w:val="00A15EBA"/>
    <w:rsid w:val="00A16077"/>
    <w:rsid w:val="00A205FC"/>
    <w:rsid w:val="00A2102A"/>
    <w:rsid w:val="00A21160"/>
    <w:rsid w:val="00A216AA"/>
    <w:rsid w:val="00A2183E"/>
    <w:rsid w:val="00A21E9C"/>
    <w:rsid w:val="00A2308A"/>
    <w:rsid w:val="00A236E1"/>
    <w:rsid w:val="00A24AE6"/>
    <w:rsid w:val="00A253DC"/>
    <w:rsid w:val="00A25BCB"/>
    <w:rsid w:val="00A265CE"/>
    <w:rsid w:val="00A2664B"/>
    <w:rsid w:val="00A270B0"/>
    <w:rsid w:val="00A30227"/>
    <w:rsid w:val="00A302B0"/>
    <w:rsid w:val="00A30A91"/>
    <w:rsid w:val="00A30F69"/>
    <w:rsid w:val="00A3295F"/>
    <w:rsid w:val="00A32A38"/>
    <w:rsid w:val="00A32EF5"/>
    <w:rsid w:val="00A33D1E"/>
    <w:rsid w:val="00A34179"/>
    <w:rsid w:val="00A34D46"/>
    <w:rsid w:val="00A35604"/>
    <w:rsid w:val="00A363B6"/>
    <w:rsid w:val="00A36763"/>
    <w:rsid w:val="00A369A6"/>
    <w:rsid w:val="00A40368"/>
    <w:rsid w:val="00A40B7C"/>
    <w:rsid w:val="00A4284B"/>
    <w:rsid w:val="00A42A24"/>
    <w:rsid w:val="00A42C4C"/>
    <w:rsid w:val="00A4391D"/>
    <w:rsid w:val="00A43EB7"/>
    <w:rsid w:val="00A4410A"/>
    <w:rsid w:val="00A44FDC"/>
    <w:rsid w:val="00A45A0A"/>
    <w:rsid w:val="00A45FEF"/>
    <w:rsid w:val="00A464AC"/>
    <w:rsid w:val="00A474E1"/>
    <w:rsid w:val="00A47614"/>
    <w:rsid w:val="00A5008B"/>
    <w:rsid w:val="00A50767"/>
    <w:rsid w:val="00A5173B"/>
    <w:rsid w:val="00A53367"/>
    <w:rsid w:val="00A54666"/>
    <w:rsid w:val="00A54905"/>
    <w:rsid w:val="00A54AEE"/>
    <w:rsid w:val="00A56195"/>
    <w:rsid w:val="00A56364"/>
    <w:rsid w:val="00A56B51"/>
    <w:rsid w:val="00A56B6B"/>
    <w:rsid w:val="00A571F8"/>
    <w:rsid w:val="00A60422"/>
    <w:rsid w:val="00A60E51"/>
    <w:rsid w:val="00A63158"/>
    <w:rsid w:val="00A64820"/>
    <w:rsid w:val="00A64DFC"/>
    <w:rsid w:val="00A65340"/>
    <w:rsid w:val="00A7052E"/>
    <w:rsid w:val="00A70DFB"/>
    <w:rsid w:val="00A715A2"/>
    <w:rsid w:val="00A7369D"/>
    <w:rsid w:val="00A7382F"/>
    <w:rsid w:val="00A73B2B"/>
    <w:rsid w:val="00A73B8C"/>
    <w:rsid w:val="00A75277"/>
    <w:rsid w:val="00A752FE"/>
    <w:rsid w:val="00A77069"/>
    <w:rsid w:val="00A77E4F"/>
    <w:rsid w:val="00A810AB"/>
    <w:rsid w:val="00A8128B"/>
    <w:rsid w:val="00A81B1C"/>
    <w:rsid w:val="00A82FE0"/>
    <w:rsid w:val="00A8431B"/>
    <w:rsid w:val="00A8482E"/>
    <w:rsid w:val="00A84C96"/>
    <w:rsid w:val="00A84F27"/>
    <w:rsid w:val="00A86496"/>
    <w:rsid w:val="00A86D92"/>
    <w:rsid w:val="00A87560"/>
    <w:rsid w:val="00A906B8"/>
    <w:rsid w:val="00A90FCA"/>
    <w:rsid w:val="00A91ABA"/>
    <w:rsid w:val="00A91BE5"/>
    <w:rsid w:val="00A94A11"/>
    <w:rsid w:val="00A9535D"/>
    <w:rsid w:val="00A95F44"/>
    <w:rsid w:val="00A964AA"/>
    <w:rsid w:val="00A97002"/>
    <w:rsid w:val="00A97336"/>
    <w:rsid w:val="00A97A29"/>
    <w:rsid w:val="00A97EE2"/>
    <w:rsid w:val="00AA0651"/>
    <w:rsid w:val="00AA0A98"/>
    <w:rsid w:val="00AA2025"/>
    <w:rsid w:val="00AA2334"/>
    <w:rsid w:val="00AA240A"/>
    <w:rsid w:val="00AA2595"/>
    <w:rsid w:val="00AA3806"/>
    <w:rsid w:val="00AA525B"/>
    <w:rsid w:val="00AA58F1"/>
    <w:rsid w:val="00AA598D"/>
    <w:rsid w:val="00AA5AE7"/>
    <w:rsid w:val="00AA6759"/>
    <w:rsid w:val="00AA7092"/>
    <w:rsid w:val="00AA78DC"/>
    <w:rsid w:val="00AA7FD4"/>
    <w:rsid w:val="00AB0008"/>
    <w:rsid w:val="00AB041C"/>
    <w:rsid w:val="00AB1270"/>
    <w:rsid w:val="00AB197B"/>
    <w:rsid w:val="00AB262D"/>
    <w:rsid w:val="00AB4D88"/>
    <w:rsid w:val="00AB64CF"/>
    <w:rsid w:val="00AB664E"/>
    <w:rsid w:val="00AB6C62"/>
    <w:rsid w:val="00AB7948"/>
    <w:rsid w:val="00AB7A5A"/>
    <w:rsid w:val="00AB7E17"/>
    <w:rsid w:val="00AC039F"/>
    <w:rsid w:val="00AC03FB"/>
    <w:rsid w:val="00AC15FE"/>
    <w:rsid w:val="00AC20BB"/>
    <w:rsid w:val="00AC23E3"/>
    <w:rsid w:val="00AC26B0"/>
    <w:rsid w:val="00AC2FFF"/>
    <w:rsid w:val="00AC4B10"/>
    <w:rsid w:val="00AC5877"/>
    <w:rsid w:val="00AC66FA"/>
    <w:rsid w:val="00AC679B"/>
    <w:rsid w:val="00AC6D9C"/>
    <w:rsid w:val="00AC6F02"/>
    <w:rsid w:val="00AC7AE7"/>
    <w:rsid w:val="00AD287A"/>
    <w:rsid w:val="00AD2A9B"/>
    <w:rsid w:val="00AD3847"/>
    <w:rsid w:val="00AD4328"/>
    <w:rsid w:val="00AD4C85"/>
    <w:rsid w:val="00AD5B65"/>
    <w:rsid w:val="00AD6239"/>
    <w:rsid w:val="00AD6388"/>
    <w:rsid w:val="00AD75A9"/>
    <w:rsid w:val="00AD75AC"/>
    <w:rsid w:val="00AD777E"/>
    <w:rsid w:val="00AD7D57"/>
    <w:rsid w:val="00AD7E03"/>
    <w:rsid w:val="00AD7F25"/>
    <w:rsid w:val="00AE0993"/>
    <w:rsid w:val="00AE1A31"/>
    <w:rsid w:val="00AE1BE4"/>
    <w:rsid w:val="00AE220B"/>
    <w:rsid w:val="00AE224C"/>
    <w:rsid w:val="00AE284E"/>
    <w:rsid w:val="00AE30FE"/>
    <w:rsid w:val="00AE3650"/>
    <w:rsid w:val="00AE3CEE"/>
    <w:rsid w:val="00AE4853"/>
    <w:rsid w:val="00AE4EA4"/>
    <w:rsid w:val="00AE563D"/>
    <w:rsid w:val="00AE5B27"/>
    <w:rsid w:val="00AE610D"/>
    <w:rsid w:val="00AE6801"/>
    <w:rsid w:val="00AE6E53"/>
    <w:rsid w:val="00AF0010"/>
    <w:rsid w:val="00AF07C0"/>
    <w:rsid w:val="00AF0EAF"/>
    <w:rsid w:val="00AF1352"/>
    <w:rsid w:val="00AF1CA3"/>
    <w:rsid w:val="00AF1CEF"/>
    <w:rsid w:val="00AF24B4"/>
    <w:rsid w:val="00AF3793"/>
    <w:rsid w:val="00AF5886"/>
    <w:rsid w:val="00AF5F64"/>
    <w:rsid w:val="00AF5FF8"/>
    <w:rsid w:val="00AF6C74"/>
    <w:rsid w:val="00AF738F"/>
    <w:rsid w:val="00B0047F"/>
    <w:rsid w:val="00B007CA"/>
    <w:rsid w:val="00B01222"/>
    <w:rsid w:val="00B01292"/>
    <w:rsid w:val="00B012A7"/>
    <w:rsid w:val="00B0173C"/>
    <w:rsid w:val="00B0187F"/>
    <w:rsid w:val="00B03B5F"/>
    <w:rsid w:val="00B041F4"/>
    <w:rsid w:val="00B04BD3"/>
    <w:rsid w:val="00B07009"/>
    <w:rsid w:val="00B070CE"/>
    <w:rsid w:val="00B07DC9"/>
    <w:rsid w:val="00B1267E"/>
    <w:rsid w:val="00B12832"/>
    <w:rsid w:val="00B128B5"/>
    <w:rsid w:val="00B1307E"/>
    <w:rsid w:val="00B14B82"/>
    <w:rsid w:val="00B14EA7"/>
    <w:rsid w:val="00B16275"/>
    <w:rsid w:val="00B16B4C"/>
    <w:rsid w:val="00B206D1"/>
    <w:rsid w:val="00B21128"/>
    <w:rsid w:val="00B21369"/>
    <w:rsid w:val="00B22721"/>
    <w:rsid w:val="00B25B82"/>
    <w:rsid w:val="00B26F08"/>
    <w:rsid w:val="00B2707A"/>
    <w:rsid w:val="00B27B87"/>
    <w:rsid w:val="00B33732"/>
    <w:rsid w:val="00B33834"/>
    <w:rsid w:val="00B358FB"/>
    <w:rsid w:val="00B3595B"/>
    <w:rsid w:val="00B36132"/>
    <w:rsid w:val="00B366A0"/>
    <w:rsid w:val="00B376B0"/>
    <w:rsid w:val="00B40C82"/>
    <w:rsid w:val="00B41E4D"/>
    <w:rsid w:val="00B42F80"/>
    <w:rsid w:val="00B453CD"/>
    <w:rsid w:val="00B458D2"/>
    <w:rsid w:val="00B477AA"/>
    <w:rsid w:val="00B50934"/>
    <w:rsid w:val="00B52F54"/>
    <w:rsid w:val="00B53D52"/>
    <w:rsid w:val="00B54C12"/>
    <w:rsid w:val="00B54CBB"/>
    <w:rsid w:val="00B55189"/>
    <w:rsid w:val="00B5659D"/>
    <w:rsid w:val="00B57E44"/>
    <w:rsid w:val="00B62912"/>
    <w:rsid w:val="00B62A3F"/>
    <w:rsid w:val="00B64654"/>
    <w:rsid w:val="00B64730"/>
    <w:rsid w:val="00B66AC5"/>
    <w:rsid w:val="00B67ED5"/>
    <w:rsid w:val="00B702C1"/>
    <w:rsid w:val="00B70479"/>
    <w:rsid w:val="00B70A4C"/>
    <w:rsid w:val="00B72880"/>
    <w:rsid w:val="00B729FE"/>
    <w:rsid w:val="00B72C2A"/>
    <w:rsid w:val="00B73637"/>
    <w:rsid w:val="00B73A57"/>
    <w:rsid w:val="00B73E6D"/>
    <w:rsid w:val="00B750FA"/>
    <w:rsid w:val="00B752EA"/>
    <w:rsid w:val="00B7671E"/>
    <w:rsid w:val="00B76C7B"/>
    <w:rsid w:val="00B76D6A"/>
    <w:rsid w:val="00B76D74"/>
    <w:rsid w:val="00B77597"/>
    <w:rsid w:val="00B775A7"/>
    <w:rsid w:val="00B80D86"/>
    <w:rsid w:val="00B8119C"/>
    <w:rsid w:val="00B81535"/>
    <w:rsid w:val="00B8179A"/>
    <w:rsid w:val="00B835EA"/>
    <w:rsid w:val="00B839C8"/>
    <w:rsid w:val="00B84A57"/>
    <w:rsid w:val="00B86009"/>
    <w:rsid w:val="00B86FB7"/>
    <w:rsid w:val="00B8723B"/>
    <w:rsid w:val="00B87DD9"/>
    <w:rsid w:val="00B91625"/>
    <w:rsid w:val="00B916D1"/>
    <w:rsid w:val="00B92720"/>
    <w:rsid w:val="00B92AD3"/>
    <w:rsid w:val="00B92DA9"/>
    <w:rsid w:val="00B93E9D"/>
    <w:rsid w:val="00B94097"/>
    <w:rsid w:val="00B9484E"/>
    <w:rsid w:val="00B96275"/>
    <w:rsid w:val="00B967DB"/>
    <w:rsid w:val="00B96F84"/>
    <w:rsid w:val="00B97B96"/>
    <w:rsid w:val="00BA0926"/>
    <w:rsid w:val="00BA0CF9"/>
    <w:rsid w:val="00BA19EA"/>
    <w:rsid w:val="00BA2F73"/>
    <w:rsid w:val="00BA329C"/>
    <w:rsid w:val="00BA38CD"/>
    <w:rsid w:val="00BA3E6D"/>
    <w:rsid w:val="00BA48F6"/>
    <w:rsid w:val="00BA4F25"/>
    <w:rsid w:val="00BA6793"/>
    <w:rsid w:val="00BA6EF2"/>
    <w:rsid w:val="00BA7C08"/>
    <w:rsid w:val="00BB01C5"/>
    <w:rsid w:val="00BB086B"/>
    <w:rsid w:val="00BB0903"/>
    <w:rsid w:val="00BB0F6F"/>
    <w:rsid w:val="00BB151C"/>
    <w:rsid w:val="00BB1A88"/>
    <w:rsid w:val="00BB1B23"/>
    <w:rsid w:val="00BB1F27"/>
    <w:rsid w:val="00BB30AB"/>
    <w:rsid w:val="00BB3FCB"/>
    <w:rsid w:val="00BB62A9"/>
    <w:rsid w:val="00BB7CA0"/>
    <w:rsid w:val="00BC14C9"/>
    <w:rsid w:val="00BC2CCD"/>
    <w:rsid w:val="00BC3741"/>
    <w:rsid w:val="00BC3EDC"/>
    <w:rsid w:val="00BC56ED"/>
    <w:rsid w:val="00BC5904"/>
    <w:rsid w:val="00BC5D8D"/>
    <w:rsid w:val="00BC610B"/>
    <w:rsid w:val="00BC6403"/>
    <w:rsid w:val="00BC7966"/>
    <w:rsid w:val="00BC7E89"/>
    <w:rsid w:val="00BD030B"/>
    <w:rsid w:val="00BD0F4E"/>
    <w:rsid w:val="00BD1C6C"/>
    <w:rsid w:val="00BD2469"/>
    <w:rsid w:val="00BD3554"/>
    <w:rsid w:val="00BD3719"/>
    <w:rsid w:val="00BD37D0"/>
    <w:rsid w:val="00BD3B67"/>
    <w:rsid w:val="00BD3C18"/>
    <w:rsid w:val="00BD4E73"/>
    <w:rsid w:val="00BD4FFF"/>
    <w:rsid w:val="00BD5DCA"/>
    <w:rsid w:val="00BD6424"/>
    <w:rsid w:val="00BD7B4D"/>
    <w:rsid w:val="00BE00FE"/>
    <w:rsid w:val="00BE1DCB"/>
    <w:rsid w:val="00BE2ABF"/>
    <w:rsid w:val="00BE2F66"/>
    <w:rsid w:val="00BE3CB9"/>
    <w:rsid w:val="00BE3E43"/>
    <w:rsid w:val="00BE42B5"/>
    <w:rsid w:val="00BE4709"/>
    <w:rsid w:val="00BF06D9"/>
    <w:rsid w:val="00BF0A87"/>
    <w:rsid w:val="00BF1407"/>
    <w:rsid w:val="00BF25A0"/>
    <w:rsid w:val="00BF2649"/>
    <w:rsid w:val="00BF2814"/>
    <w:rsid w:val="00BF2853"/>
    <w:rsid w:val="00BF2B43"/>
    <w:rsid w:val="00BF2D1A"/>
    <w:rsid w:val="00BF3A41"/>
    <w:rsid w:val="00BF4182"/>
    <w:rsid w:val="00BF6419"/>
    <w:rsid w:val="00BF74EC"/>
    <w:rsid w:val="00BF7A8C"/>
    <w:rsid w:val="00C01567"/>
    <w:rsid w:val="00C029B2"/>
    <w:rsid w:val="00C02F42"/>
    <w:rsid w:val="00C04F1D"/>
    <w:rsid w:val="00C04F43"/>
    <w:rsid w:val="00C05B04"/>
    <w:rsid w:val="00C10594"/>
    <w:rsid w:val="00C11338"/>
    <w:rsid w:val="00C11FA2"/>
    <w:rsid w:val="00C12AAF"/>
    <w:rsid w:val="00C13610"/>
    <w:rsid w:val="00C14A0C"/>
    <w:rsid w:val="00C14B7E"/>
    <w:rsid w:val="00C15387"/>
    <w:rsid w:val="00C15646"/>
    <w:rsid w:val="00C157EB"/>
    <w:rsid w:val="00C16DF1"/>
    <w:rsid w:val="00C17326"/>
    <w:rsid w:val="00C21726"/>
    <w:rsid w:val="00C22435"/>
    <w:rsid w:val="00C22E4F"/>
    <w:rsid w:val="00C23973"/>
    <w:rsid w:val="00C24966"/>
    <w:rsid w:val="00C24A17"/>
    <w:rsid w:val="00C26E07"/>
    <w:rsid w:val="00C274F2"/>
    <w:rsid w:val="00C30CAB"/>
    <w:rsid w:val="00C30FF5"/>
    <w:rsid w:val="00C3107D"/>
    <w:rsid w:val="00C316C3"/>
    <w:rsid w:val="00C31F6E"/>
    <w:rsid w:val="00C328B7"/>
    <w:rsid w:val="00C328ED"/>
    <w:rsid w:val="00C3346D"/>
    <w:rsid w:val="00C33E06"/>
    <w:rsid w:val="00C340E1"/>
    <w:rsid w:val="00C35260"/>
    <w:rsid w:val="00C35493"/>
    <w:rsid w:val="00C355D8"/>
    <w:rsid w:val="00C36613"/>
    <w:rsid w:val="00C401DB"/>
    <w:rsid w:val="00C41CA3"/>
    <w:rsid w:val="00C42AC6"/>
    <w:rsid w:val="00C42CC5"/>
    <w:rsid w:val="00C42E79"/>
    <w:rsid w:val="00C453CA"/>
    <w:rsid w:val="00C4639E"/>
    <w:rsid w:val="00C51AC5"/>
    <w:rsid w:val="00C52410"/>
    <w:rsid w:val="00C52EF5"/>
    <w:rsid w:val="00C54E49"/>
    <w:rsid w:val="00C55623"/>
    <w:rsid w:val="00C55BB0"/>
    <w:rsid w:val="00C55D58"/>
    <w:rsid w:val="00C56A08"/>
    <w:rsid w:val="00C573C7"/>
    <w:rsid w:val="00C60067"/>
    <w:rsid w:val="00C61D7F"/>
    <w:rsid w:val="00C6245D"/>
    <w:rsid w:val="00C639C0"/>
    <w:rsid w:val="00C645A5"/>
    <w:rsid w:val="00C71325"/>
    <w:rsid w:val="00C7222F"/>
    <w:rsid w:val="00C72AFB"/>
    <w:rsid w:val="00C73DDB"/>
    <w:rsid w:val="00C75700"/>
    <w:rsid w:val="00C75908"/>
    <w:rsid w:val="00C7734E"/>
    <w:rsid w:val="00C77D66"/>
    <w:rsid w:val="00C803D8"/>
    <w:rsid w:val="00C80C71"/>
    <w:rsid w:val="00C82706"/>
    <w:rsid w:val="00C82A59"/>
    <w:rsid w:val="00C837C8"/>
    <w:rsid w:val="00C85884"/>
    <w:rsid w:val="00C87016"/>
    <w:rsid w:val="00C87017"/>
    <w:rsid w:val="00C8752A"/>
    <w:rsid w:val="00C87C09"/>
    <w:rsid w:val="00C910F4"/>
    <w:rsid w:val="00C9155F"/>
    <w:rsid w:val="00C91D4D"/>
    <w:rsid w:val="00C9242F"/>
    <w:rsid w:val="00C92F15"/>
    <w:rsid w:val="00C93119"/>
    <w:rsid w:val="00C94FBE"/>
    <w:rsid w:val="00C95248"/>
    <w:rsid w:val="00C95CB5"/>
    <w:rsid w:val="00C95E4E"/>
    <w:rsid w:val="00C95E8B"/>
    <w:rsid w:val="00C95EDC"/>
    <w:rsid w:val="00C96108"/>
    <w:rsid w:val="00C97029"/>
    <w:rsid w:val="00C9717D"/>
    <w:rsid w:val="00C97429"/>
    <w:rsid w:val="00C97F33"/>
    <w:rsid w:val="00CA0A36"/>
    <w:rsid w:val="00CA0FB7"/>
    <w:rsid w:val="00CA13B1"/>
    <w:rsid w:val="00CA2BE6"/>
    <w:rsid w:val="00CA2F72"/>
    <w:rsid w:val="00CA33EA"/>
    <w:rsid w:val="00CA3B94"/>
    <w:rsid w:val="00CA45AA"/>
    <w:rsid w:val="00CA52CE"/>
    <w:rsid w:val="00CA59DE"/>
    <w:rsid w:val="00CA5A05"/>
    <w:rsid w:val="00CA65A2"/>
    <w:rsid w:val="00CA6A76"/>
    <w:rsid w:val="00CA7117"/>
    <w:rsid w:val="00CA7299"/>
    <w:rsid w:val="00CA7734"/>
    <w:rsid w:val="00CA7978"/>
    <w:rsid w:val="00CB0D81"/>
    <w:rsid w:val="00CB1C6B"/>
    <w:rsid w:val="00CB1FD2"/>
    <w:rsid w:val="00CB2C07"/>
    <w:rsid w:val="00CB399B"/>
    <w:rsid w:val="00CB4BA7"/>
    <w:rsid w:val="00CB6BA2"/>
    <w:rsid w:val="00CB76B1"/>
    <w:rsid w:val="00CB78CF"/>
    <w:rsid w:val="00CC15F3"/>
    <w:rsid w:val="00CC2139"/>
    <w:rsid w:val="00CC283E"/>
    <w:rsid w:val="00CC2DD1"/>
    <w:rsid w:val="00CC359D"/>
    <w:rsid w:val="00CC44E1"/>
    <w:rsid w:val="00CC47F3"/>
    <w:rsid w:val="00CC4DA2"/>
    <w:rsid w:val="00CC51A1"/>
    <w:rsid w:val="00CC52F1"/>
    <w:rsid w:val="00CC5798"/>
    <w:rsid w:val="00CC59CB"/>
    <w:rsid w:val="00CC7632"/>
    <w:rsid w:val="00CD0D99"/>
    <w:rsid w:val="00CD125D"/>
    <w:rsid w:val="00CD1DF0"/>
    <w:rsid w:val="00CD2087"/>
    <w:rsid w:val="00CD24C7"/>
    <w:rsid w:val="00CD2707"/>
    <w:rsid w:val="00CD2FE3"/>
    <w:rsid w:val="00CD4B5B"/>
    <w:rsid w:val="00CD63BA"/>
    <w:rsid w:val="00CD63BE"/>
    <w:rsid w:val="00CD68B7"/>
    <w:rsid w:val="00CD7B3C"/>
    <w:rsid w:val="00CD7D80"/>
    <w:rsid w:val="00CD7E5D"/>
    <w:rsid w:val="00CE06CD"/>
    <w:rsid w:val="00CE0C4A"/>
    <w:rsid w:val="00CE0E1C"/>
    <w:rsid w:val="00CE2B30"/>
    <w:rsid w:val="00CE438D"/>
    <w:rsid w:val="00CE5612"/>
    <w:rsid w:val="00CE5873"/>
    <w:rsid w:val="00CE6272"/>
    <w:rsid w:val="00CE6E3B"/>
    <w:rsid w:val="00CF13F0"/>
    <w:rsid w:val="00CF14E7"/>
    <w:rsid w:val="00CF2A12"/>
    <w:rsid w:val="00CF57D1"/>
    <w:rsid w:val="00CF6310"/>
    <w:rsid w:val="00CF6C2D"/>
    <w:rsid w:val="00D0135E"/>
    <w:rsid w:val="00D01812"/>
    <w:rsid w:val="00D02360"/>
    <w:rsid w:val="00D02808"/>
    <w:rsid w:val="00D03D94"/>
    <w:rsid w:val="00D0446D"/>
    <w:rsid w:val="00D04558"/>
    <w:rsid w:val="00D04591"/>
    <w:rsid w:val="00D04DEE"/>
    <w:rsid w:val="00D0582A"/>
    <w:rsid w:val="00D07407"/>
    <w:rsid w:val="00D07814"/>
    <w:rsid w:val="00D07D6B"/>
    <w:rsid w:val="00D111F9"/>
    <w:rsid w:val="00D125AA"/>
    <w:rsid w:val="00D13B3D"/>
    <w:rsid w:val="00D14746"/>
    <w:rsid w:val="00D151B2"/>
    <w:rsid w:val="00D1550A"/>
    <w:rsid w:val="00D16B2B"/>
    <w:rsid w:val="00D20039"/>
    <w:rsid w:val="00D20D36"/>
    <w:rsid w:val="00D223AB"/>
    <w:rsid w:val="00D2262F"/>
    <w:rsid w:val="00D22E25"/>
    <w:rsid w:val="00D23658"/>
    <w:rsid w:val="00D252FF"/>
    <w:rsid w:val="00D2680D"/>
    <w:rsid w:val="00D26858"/>
    <w:rsid w:val="00D27A50"/>
    <w:rsid w:val="00D27FF6"/>
    <w:rsid w:val="00D30F38"/>
    <w:rsid w:val="00D323DE"/>
    <w:rsid w:val="00D3279E"/>
    <w:rsid w:val="00D337A8"/>
    <w:rsid w:val="00D35E17"/>
    <w:rsid w:val="00D36639"/>
    <w:rsid w:val="00D368B8"/>
    <w:rsid w:val="00D37A7A"/>
    <w:rsid w:val="00D42002"/>
    <w:rsid w:val="00D42C52"/>
    <w:rsid w:val="00D435FD"/>
    <w:rsid w:val="00D43815"/>
    <w:rsid w:val="00D4437B"/>
    <w:rsid w:val="00D445AE"/>
    <w:rsid w:val="00D4548E"/>
    <w:rsid w:val="00D460B6"/>
    <w:rsid w:val="00D46D9A"/>
    <w:rsid w:val="00D46DA1"/>
    <w:rsid w:val="00D47A86"/>
    <w:rsid w:val="00D47BA6"/>
    <w:rsid w:val="00D50962"/>
    <w:rsid w:val="00D50E02"/>
    <w:rsid w:val="00D50FDD"/>
    <w:rsid w:val="00D511CA"/>
    <w:rsid w:val="00D51A79"/>
    <w:rsid w:val="00D5234C"/>
    <w:rsid w:val="00D53996"/>
    <w:rsid w:val="00D53C0D"/>
    <w:rsid w:val="00D53DD9"/>
    <w:rsid w:val="00D53E00"/>
    <w:rsid w:val="00D568D5"/>
    <w:rsid w:val="00D609EB"/>
    <w:rsid w:val="00D61FBB"/>
    <w:rsid w:val="00D621DB"/>
    <w:rsid w:val="00D626C8"/>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2BE4"/>
    <w:rsid w:val="00D733A5"/>
    <w:rsid w:val="00D735FA"/>
    <w:rsid w:val="00D73AD7"/>
    <w:rsid w:val="00D74192"/>
    <w:rsid w:val="00D75577"/>
    <w:rsid w:val="00D77AC1"/>
    <w:rsid w:val="00D77FA5"/>
    <w:rsid w:val="00D80814"/>
    <w:rsid w:val="00D80A91"/>
    <w:rsid w:val="00D812C2"/>
    <w:rsid w:val="00D816CF"/>
    <w:rsid w:val="00D81723"/>
    <w:rsid w:val="00D825C6"/>
    <w:rsid w:val="00D83078"/>
    <w:rsid w:val="00D85693"/>
    <w:rsid w:val="00D85A23"/>
    <w:rsid w:val="00D87102"/>
    <w:rsid w:val="00D90679"/>
    <w:rsid w:val="00D90C36"/>
    <w:rsid w:val="00D90CB1"/>
    <w:rsid w:val="00D9157D"/>
    <w:rsid w:val="00D91991"/>
    <w:rsid w:val="00D91A19"/>
    <w:rsid w:val="00D924F8"/>
    <w:rsid w:val="00D930B8"/>
    <w:rsid w:val="00D94186"/>
    <w:rsid w:val="00D94546"/>
    <w:rsid w:val="00D952F5"/>
    <w:rsid w:val="00D95524"/>
    <w:rsid w:val="00D96715"/>
    <w:rsid w:val="00D975BC"/>
    <w:rsid w:val="00D97E54"/>
    <w:rsid w:val="00DA034F"/>
    <w:rsid w:val="00DA1500"/>
    <w:rsid w:val="00DA1589"/>
    <w:rsid w:val="00DA1B60"/>
    <w:rsid w:val="00DA1CD0"/>
    <w:rsid w:val="00DA3582"/>
    <w:rsid w:val="00DA44F1"/>
    <w:rsid w:val="00DA5243"/>
    <w:rsid w:val="00DA56F8"/>
    <w:rsid w:val="00DA6C81"/>
    <w:rsid w:val="00DB001D"/>
    <w:rsid w:val="00DB08B8"/>
    <w:rsid w:val="00DB1161"/>
    <w:rsid w:val="00DB13BA"/>
    <w:rsid w:val="00DB198F"/>
    <w:rsid w:val="00DB2061"/>
    <w:rsid w:val="00DB384C"/>
    <w:rsid w:val="00DB3B2C"/>
    <w:rsid w:val="00DB3E90"/>
    <w:rsid w:val="00DB618B"/>
    <w:rsid w:val="00DB6B1B"/>
    <w:rsid w:val="00DB79FD"/>
    <w:rsid w:val="00DB7B74"/>
    <w:rsid w:val="00DB7BF5"/>
    <w:rsid w:val="00DB7C9F"/>
    <w:rsid w:val="00DC0303"/>
    <w:rsid w:val="00DC21B6"/>
    <w:rsid w:val="00DC2B0E"/>
    <w:rsid w:val="00DC43B1"/>
    <w:rsid w:val="00DC6BB7"/>
    <w:rsid w:val="00DC7212"/>
    <w:rsid w:val="00DC757A"/>
    <w:rsid w:val="00DD10BA"/>
    <w:rsid w:val="00DD1C88"/>
    <w:rsid w:val="00DD29F4"/>
    <w:rsid w:val="00DD2A3A"/>
    <w:rsid w:val="00DD399E"/>
    <w:rsid w:val="00DD4698"/>
    <w:rsid w:val="00DD49F6"/>
    <w:rsid w:val="00DD49F9"/>
    <w:rsid w:val="00DD579C"/>
    <w:rsid w:val="00DD57EA"/>
    <w:rsid w:val="00DD7280"/>
    <w:rsid w:val="00DE0819"/>
    <w:rsid w:val="00DE4AD6"/>
    <w:rsid w:val="00DE4FF9"/>
    <w:rsid w:val="00DE4FFC"/>
    <w:rsid w:val="00DE507C"/>
    <w:rsid w:val="00DE5D54"/>
    <w:rsid w:val="00DE6A5B"/>
    <w:rsid w:val="00DE6C1C"/>
    <w:rsid w:val="00DF0116"/>
    <w:rsid w:val="00DF0AAB"/>
    <w:rsid w:val="00DF0B95"/>
    <w:rsid w:val="00DF12D7"/>
    <w:rsid w:val="00DF256B"/>
    <w:rsid w:val="00DF29E2"/>
    <w:rsid w:val="00DF3B5B"/>
    <w:rsid w:val="00DF405D"/>
    <w:rsid w:val="00DF473D"/>
    <w:rsid w:val="00DF5C82"/>
    <w:rsid w:val="00DF6275"/>
    <w:rsid w:val="00DF76EB"/>
    <w:rsid w:val="00DF7A02"/>
    <w:rsid w:val="00DF7C6D"/>
    <w:rsid w:val="00E0005E"/>
    <w:rsid w:val="00E0010F"/>
    <w:rsid w:val="00E0213D"/>
    <w:rsid w:val="00E04978"/>
    <w:rsid w:val="00E04BBD"/>
    <w:rsid w:val="00E04FEC"/>
    <w:rsid w:val="00E104D6"/>
    <w:rsid w:val="00E10961"/>
    <w:rsid w:val="00E10DA6"/>
    <w:rsid w:val="00E11003"/>
    <w:rsid w:val="00E1161A"/>
    <w:rsid w:val="00E134F2"/>
    <w:rsid w:val="00E13D5D"/>
    <w:rsid w:val="00E140AF"/>
    <w:rsid w:val="00E15F22"/>
    <w:rsid w:val="00E16886"/>
    <w:rsid w:val="00E169FB"/>
    <w:rsid w:val="00E16CD5"/>
    <w:rsid w:val="00E16DAA"/>
    <w:rsid w:val="00E17072"/>
    <w:rsid w:val="00E17518"/>
    <w:rsid w:val="00E200AF"/>
    <w:rsid w:val="00E20477"/>
    <w:rsid w:val="00E20C21"/>
    <w:rsid w:val="00E217F4"/>
    <w:rsid w:val="00E219C8"/>
    <w:rsid w:val="00E22ADD"/>
    <w:rsid w:val="00E236DD"/>
    <w:rsid w:val="00E24354"/>
    <w:rsid w:val="00E25797"/>
    <w:rsid w:val="00E263F0"/>
    <w:rsid w:val="00E2641F"/>
    <w:rsid w:val="00E272C2"/>
    <w:rsid w:val="00E27A71"/>
    <w:rsid w:val="00E306EA"/>
    <w:rsid w:val="00E306EB"/>
    <w:rsid w:val="00E3177A"/>
    <w:rsid w:val="00E31D02"/>
    <w:rsid w:val="00E31D59"/>
    <w:rsid w:val="00E32312"/>
    <w:rsid w:val="00E33FEE"/>
    <w:rsid w:val="00E3662B"/>
    <w:rsid w:val="00E36BA2"/>
    <w:rsid w:val="00E371F2"/>
    <w:rsid w:val="00E401D2"/>
    <w:rsid w:val="00E410E6"/>
    <w:rsid w:val="00E4156B"/>
    <w:rsid w:val="00E41B63"/>
    <w:rsid w:val="00E420F3"/>
    <w:rsid w:val="00E427F4"/>
    <w:rsid w:val="00E42E3C"/>
    <w:rsid w:val="00E44A79"/>
    <w:rsid w:val="00E44AE3"/>
    <w:rsid w:val="00E44FFD"/>
    <w:rsid w:val="00E458E3"/>
    <w:rsid w:val="00E4642A"/>
    <w:rsid w:val="00E477A2"/>
    <w:rsid w:val="00E47A50"/>
    <w:rsid w:val="00E5039C"/>
    <w:rsid w:val="00E51C07"/>
    <w:rsid w:val="00E5218D"/>
    <w:rsid w:val="00E5368B"/>
    <w:rsid w:val="00E54255"/>
    <w:rsid w:val="00E54913"/>
    <w:rsid w:val="00E54CB6"/>
    <w:rsid w:val="00E564D0"/>
    <w:rsid w:val="00E56B7C"/>
    <w:rsid w:val="00E56CB4"/>
    <w:rsid w:val="00E6013A"/>
    <w:rsid w:val="00E60F12"/>
    <w:rsid w:val="00E61A0A"/>
    <w:rsid w:val="00E620F4"/>
    <w:rsid w:val="00E62C9D"/>
    <w:rsid w:val="00E63917"/>
    <w:rsid w:val="00E65702"/>
    <w:rsid w:val="00E65EC3"/>
    <w:rsid w:val="00E663A2"/>
    <w:rsid w:val="00E67E5B"/>
    <w:rsid w:val="00E67FBB"/>
    <w:rsid w:val="00E703B1"/>
    <w:rsid w:val="00E70F95"/>
    <w:rsid w:val="00E7106F"/>
    <w:rsid w:val="00E711DF"/>
    <w:rsid w:val="00E7152D"/>
    <w:rsid w:val="00E71AE3"/>
    <w:rsid w:val="00E72BB1"/>
    <w:rsid w:val="00E72C52"/>
    <w:rsid w:val="00E72F11"/>
    <w:rsid w:val="00E73A4D"/>
    <w:rsid w:val="00E74185"/>
    <w:rsid w:val="00E741EF"/>
    <w:rsid w:val="00E7425D"/>
    <w:rsid w:val="00E74427"/>
    <w:rsid w:val="00E75EDD"/>
    <w:rsid w:val="00E76C43"/>
    <w:rsid w:val="00E76C6E"/>
    <w:rsid w:val="00E77C4C"/>
    <w:rsid w:val="00E77FDD"/>
    <w:rsid w:val="00E80F2D"/>
    <w:rsid w:val="00E81BA2"/>
    <w:rsid w:val="00E828D0"/>
    <w:rsid w:val="00E82FBD"/>
    <w:rsid w:val="00E8388E"/>
    <w:rsid w:val="00E84360"/>
    <w:rsid w:val="00E84F14"/>
    <w:rsid w:val="00E85DD7"/>
    <w:rsid w:val="00E87690"/>
    <w:rsid w:val="00E87735"/>
    <w:rsid w:val="00E87FB4"/>
    <w:rsid w:val="00E91F38"/>
    <w:rsid w:val="00E9218C"/>
    <w:rsid w:val="00E92AA5"/>
    <w:rsid w:val="00E92C46"/>
    <w:rsid w:val="00E93088"/>
    <w:rsid w:val="00E93538"/>
    <w:rsid w:val="00E93691"/>
    <w:rsid w:val="00E94BFE"/>
    <w:rsid w:val="00E95C81"/>
    <w:rsid w:val="00E95F24"/>
    <w:rsid w:val="00E96D8F"/>
    <w:rsid w:val="00E96DD1"/>
    <w:rsid w:val="00E96F5F"/>
    <w:rsid w:val="00E979D5"/>
    <w:rsid w:val="00E97F21"/>
    <w:rsid w:val="00EA011C"/>
    <w:rsid w:val="00EA159D"/>
    <w:rsid w:val="00EA199E"/>
    <w:rsid w:val="00EA1DA6"/>
    <w:rsid w:val="00EA30C7"/>
    <w:rsid w:val="00EA3D73"/>
    <w:rsid w:val="00EA457D"/>
    <w:rsid w:val="00EA47C5"/>
    <w:rsid w:val="00EA51E6"/>
    <w:rsid w:val="00EA5EF0"/>
    <w:rsid w:val="00EA78BB"/>
    <w:rsid w:val="00EA7B76"/>
    <w:rsid w:val="00EB053E"/>
    <w:rsid w:val="00EB2906"/>
    <w:rsid w:val="00EB416C"/>
    <w:rsid w:val="00EB4751"/>
    <w:rsid w:val="00EB5750"/>
    <w:rsid w:val="00EB5BB6"/>
    <w:rsid w:val="00EB62FE"/>
    <w:rsid w:val="00EB6AAA"/>
    <w:rsid w:val="00EB73AC"/>
    <w:rsid w:val="00EC0E29"/>
    <w:rsid w:val="00EC2250"/>
    <w:rsid w:val="00EC3831"/>
    <w:rsid w:val="00EC3E8A"/>
    <w:rsid w:val="00EC4018"/>
    <w:rsid w:val="00EC70F6"/>
    <w:rsid w:val="00EC7FB8"/>
    <w:rsid w:val="00ED0068"/>
    <w:rsid w:val="00ED1207"/>
    <w:rsid w:val="00ED15EA"/>
    <w:rsid w:val="00ED20CD"/>
    <w:rsid w:val="00ED22E1"/>
    <w:rsid w:val="00ED25E2"/>
    <w:rsid w:val="00ED2D6D"/>
    <w:rsid w:val="00ED430E"/>
    <w:rsid w:val="00ED550F"/>
    <w:rsid w:val="00ED5AEA"/>
    <w:rsid w:val="00ED6C07"/>
    <w:rsid w:val="00EE0AA7"/>
    <w:rsid w:val="00EE0E9D"/>
    <w:rsid w:val="00EE2B21"/>
    <w:rsid w:val="00EE2E18"/>
    <w:rsid w:val="00EE3232"/>
    <w:rsid w:val="00EE36DF"/>
    <w:rsid w:val="00EE39EB"/>
    <w:rsid w:val="00EE3B18"/>
    <w:rsid w:val="00EE3F7E"/>
    <w:rsid w:val="00EE4435"/>
    <w:rsid w:val="00EE44EE"/>
    <w:rsid w:val="00EE47B8"/>
    <w:rsid w:val="00EE730E"/>
    <w:rsid w:val="00EE7E31"/>
    <w:rsid w:val="00EF1A90"/>
    <w:rsid w:val="00EF2866"/>
    <w:rsid w:val="00EF327A"/>
    <w:rsid w:val="00EF3301"/>
    <w:rsid w:val="00EF3550"/>
    <w:rsid w:val="00EF3760"/>
    <w:rsid w:val="00EF3B7E"/>
    <w:rsid w:val="00EF3DF0"/>
    <w:rsid w:val="00EF3FC5"/>
    <w:rsid w:val="00EF44AB"/>
    <w:rsid w:val="00EF48BD"/>
    <w:rsid w:val="00EF532A"/>
    <w:rsid w:val="00EF5502"/>
    <w:rsid w:val="00EF5B80"/>
    <w:rsid w:val="00EF5C44"/>
    <w:rsid w:val="00EF7421"/>
    <w:rsid w:val="00EF7523"/>
    <w:rsid w:val="00EF7804"/>
    <w:rsid w:val="00EF7C2C"/>
    <w:rsid w:val="00F00EF8"/>
    <w:rsid w:val="00F037B3"/>
    <w:rsid w:val="00F04233"/>
    <w:rsid w:val="00F054F0"/>
    <w:rsid w:val="00F0581A"/>
    <w:rsid w:val="00F06B34"/>
    <w:rsid w:val="00F1082F"/>
    <w:rsid w:val="00F12E7A"/>
    <w:rsid w:val="00F1486F"/>
    <w:rsid w:val="00F16C58"/>
    <w:rsid w:val="00F17261"/>
    <w:rsid w:val="00F20D4C"/>
    <w:rsid w:val="00F210B0"/>
    <w:rsid w:val="00F21166"/>
    <w:rsid w:val="00F23E23"/>
    <w:rsid w:val="00F24293"/>
    <w:rsid w:val="00F24602"/>
    <w:rsid w:val="00F26307"/>
    <w:rsid w:val="00F273F6"/>
    <w:rsid w:val="00F27509"/>
    <w:rsid w:val="00F27D5A"/>
    <w:rsid w:val="00F31EA5"/>
    <w:rsid w:val="00F31F75"/>
    <w:rsid w:val="00F33010"/>
    <w:rsid w:val="00F33103"/>
    <w:rsid w:val="00F33874"/>
    <w:rsid w:val="00F344BF"/>
    <w:rsid w:val="00F34CB1"/>
    <w:rsid w:val="00F353A6"/>
    <w:rsid w:val="00F356CA"/>
    <w:rsid w:val="00F35881"/>
    <w:rsid w:val="00F35A5B"/>
    <w:rsid w:val="00F37618"/>
    <w:rsid w:val="00F37637"/>
    <w:rsid w:val="00F37AB4"/>
    <w:rsid w:val="00F4071A"/>
    <w:rsid w:val="00F43C57"/>
    <w:rsid w:val="00F43E42"/>
    <w:rsid w:val="00F44A8E"/>
    <w:rsid w:val="00F473EC"/>
    <w:rsid w:val="00F474E0"/>
    <w:rsid w:val="00F5101A"/>
    <w:rsid w:val="00F511B5"/>
    <w:rsid w:val="00F524CD"/>
    <w:rsid w:val="00F5270A"/>
    <w:rsid w:val="00F52A24"/>
    <w:rsid w:val="00F52DB8"/>
    <w:rsid w:val="00F53FA9"/>
    <w:rsid w:val="00F6017C"/>
    <w:rsid w:val="00F60CE4"/>
    <w:rsid w:val="00F60DD4"/>
    <w:rsid w:val="00F60E55"/>
    <w:rsid w:val="00F611A9"/>
    <w:rsid w:val="00F61C58"/>
    <w:rsid w:val="00F6286D"/>
    <w:rsid w:val="00F634BF"/>
    <w:rsid w:val="00F63ABC"/>
    <w:rsid w:val="00F63DD9"/>
    <w:rsid w:val="00F654CA"/>
    <w:rsid w:val="00F67C9D"/>
    <w:rsid w:val="00F7048F"/>
    <w:rsid w:val="00F70C15"/>
    <w:rsid w:val="00F70D0E"/>
    <w:rsid w:val="00F72B4B"/>
    <w:rsid w:val="00F73787"/>
    <w:rsid w:val="00F739A9"/>
    <w:rsid w:val="00F73ACC"/>
    <w:rsid w:val="00F754EA"/>
    <w:rsid w:val="00F755EA"/>
    <w:rsid w:val="00F75879"/>
    <w:rsid w:val="00F75BE5"/>
    <w:rsid w:val="00F7617E"/>
    <w:rsid w:val="00F762F8"/>
    <w:rsid w:val="00F77140"/>
    <w:rsid w:val="00F80D78"/>
    <w:rsid w:val="00F83FDC"/>
    <w:rsid w:val="00F840CC"/>
    <w:rsid w:val="00F844E7"/>
    <w:rsid w:val="00F84DA0"/>
    <w:rsid w:val="00F8506D"/>
    <w:rsid w:val="00F8556F"/>
    <w:rsid w:val="00F8582E"/>
    <w:rsid w:val="00F85FA8"/>
    <w:rsid w:val="00F8657F"/>
    <w:rsid w:val="00F86731"/>
    <w:rsid w:val="00F86815"/>
    <w:rsid w:val="00F86B59"/>
    <w:rsid w:val="00F86BA5"/>
    <w:rsid w:val="00F87F8C"/>
    <w:rsid w:val="00F904A3"/>
    <w:rsid w:val="00F90C3D"/>
    <w:rsid w:val="00F91108"/>
    <w:rsid w:val="00F9117F"/>
    <w:rsid w:val="00F91262"/>
    <w:rsid w:val="00F91278"/>
    <w:rsid w:val="00F924BD"/>
    <w:rsid w:val="00F92EA8"/>
    <w:rsid w:val="00F93369"/>
    <w:rsid w:val="00F951B7"/>
    <w:rsid w:val="00F95C68"/>
    <w:rsid w:val="00F95E65"/>
    <w:rsid w:val="00F95EAD"/>
    <w:rsid w:val="00F9606C"/>
    <w:rsid w:val="00F963CF"/>
    <w:rsid w:val="00F97486"/>
    <w:rsid w:val="00F9756F"/>
    <w:rsid w:val="00F976DD"/>
    <w:rsid w:val="00FA0B3F"/>
    <w:rsid w:val="00FA225D"/>
    <w:rsid w:val="00FA22FB"/>
    <w:rsid w:val="00FA39D5"/>
    <w:rsid w:val="00FA3DD9"/>
    <w:rsid w:val="00FA42AD"/>
    <w:rsid w:val="00FA47FC"/>
    <w:rsid w:val="00FA490A"/>
    <w:rsid w:val="00FA5D35"/>
    <w:rsid w:val="00FA6989"/>
    <w:rsid w:val="00FA6AEC"/>
    <w:rsid w:val="00FA764A"/>
    <w:rsid w:val="00FB1563"/>
    <w:rsid w:val="00FB2D74"/>
    <w:rsid w:val="00FB307C"/>
    <w:rsid w:val="00FB37A8"/>
    <w:rsid w:val="00FB45D0"/>
    <w:rsid w:val="00FB50AA"/>
    <w:rsid w:val="00FB5507"/>
    <w:rsid w:val="00FB5FEE"/>
    <w:rsid w:val="00FB6031"/>
    <w:rsid w:val="00FB64FA"/>
    <w:rsid w:val="00FB7016"/>
    <w:rsid w:val="00FB7774"/>
    <w:rsid w:val="00FC002B"/>
    <w:rsid w:val="00FC00FD"/>
    <w:rsid w:val="00FC077E"/>
    <w:rsid w:val="00FC1508"/>
    <w:rsid w:val="00FC18B0"/>
    <w:rsid w:val="00FC1A14"/>
    <w:rsid w:val="00FC2CA1"/>
    <w:rsid w:val="00FC39B6"/>
    <w:rsid w:val="00FC4BD3"/>
    <w:rsid w:val="00FC6203"/>
    <w:rsid w:val="00FC72E9"/>
    <w:rsid w:val="00FC745C"/>
    <w:rsid w:val="00FD0669"/>
    <w:rsid w:val="00FD0B0B"/>
    <w:rsid w:val="00FD17DB"/>
    <w:rsid w:val="00FD1C2E"/>
    <w:rsid w:val="00FD1C84"/>
    <w:rsid w:val="00FD2D1F"/>
    <w:rsid w:val="00FD38CD"/>
    <w:rsid w:val="00FD3A31"/>
    <w:rsid w:val="00FD44E7"/>
    <w:rsid w:val="00FD4746"/>
    <w:rsid w:val="00FD5C28"/>
    <w:rsid w:val="00FD60AE"/>
    <w:rsid w:val="00FD67D8"/>
    <w:rsid w:val="00FD6DD0"/>
    <w:rsid w:val="00FD71B1"/>
    <w:rsid w:val="00FD7263"/>
    <w:rsid w:val="00FD7857"/>
    <w:rsid w:val="00FE0191"/>
    <w:rsid w:val="00FE02E9"/>
    <w:rsid w:val="00FE04A7"/>
    <w:rsid w:val="00FE0FE7"/>
    <w:rsid w:val="00FE2A89"/>
    <w:rsid w:val="00FE2F84"/>
    <w:rsid w:val="00FE3481"/>
    <w:rsid w:val="00FE3504"/>
    <w:rsid w:val="00FE3A89"/>
    <w:rsid w:val="00FE3DB8"/>
    <w:rsid w:val="00FE4024"/>
    <w:rsid w:val="00FE423B"/>
    <w:rsid w:val="00FE46B3"/>
    <w:rsid w:val="00FE48FC"/>
    <w:rsid w:val="00FE565F"/>
    <w:rsid w:val="00FE6372"/>
    <w:rsid w:val="00FE640A"/>
    <w:rsid w:val="00FE7B9C"/>
    <w:rsid w:val="00FE7BFD"/>
    <w:rsid w:val="00FE7DAE"/>
    <w:rsid w:val="00FE7FF6"/>
    <w:rsid w:val="00FF0220"/>
    <w:rsid w:val="00FF023F"/>
    <w:rsid w:val="00FF0DE4"/>
    <w:rsid w:val="00FF4908"/>
    <w:rsid w:val="00FF4B3D"/>
    <w:rsid w:val="00FF6799"/>
    <w:rsid w:val="00FF7519"/>
    <w:rsid w:val="0198568D"/>
    <w:rsid w:val="107E12A2"/>
    <w:rsid w:val="16A617DF"/>
    <w:rsid w:val="1B18B7DB"/>
    <w:rsid w:val="1CF91A84"/>
    <w:rsid w:val="1F88ADD8"/>
    <w:rsid w:val="24F11F6E"/>
    <w:rsid w:val="361C8B76"/>
    <w:rsid w:val="36607F4A"/>
    <w:rsid w:val="39828898"/>
    <w:rsid w:val="42793240"/>
    <w:rsid w:val="42899414"/>
    <w:rsid w:val="44C3550C"/>
    <w:rsid w:val="4548265F"/>
    <w:rsid w:val="45CEA367"/>
    <w:rsid w:val="4789893E"/>
    <w:rsid w:val="4A1C4334"/>
    <w:rsid w:val="4F091922"/>
    <w:rsid w:val="508C8B6F"/>
    <w:rsid w:val="553263EB"/>
    <w:rsid w:val="5E4E5A20"/>
    <w:rsid w:val="6A7B4933"/>
    <w:rsid w:val="6D66F954"/>
    <w:rsid w:val="73F283D3"/>
    <w:rsid w:val="78586E80"/>
    <w:rsid w:val="79880BEC"/>
    <w:rsid w:val="7FFC8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34DA0612"/>
  <w15:docId w15:val="{3850AFDC-FE58-4BD4-BB1D-0929AB773D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07A8F"/>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Pr>
      <w:rFonts w:ascii="Cambria" w:hAnsi="Cambria" w:cs="Times New Roman"/>
      <w:b/>
      <w:bCs/>
      <w:color w:val="365F91"/>
      <w:sz w:val="28"/>
      <w:szCs w:val="28"/>
    </w:rPr>
  </w:style>
  <w:style w:type="character" w:styleId="Heading2Char" w:customStyle="1">
    <w:name w:val="Heading 2 Char"/>
    <w:basedOn w:val="DefaultParagraphFont"/>
    <w:link w:val="Heading2"/>
    <w:uiPriority w:val="99"/>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character" w:styleId="Heading3Char" w:customStyle="1">
    <w:name w:val="Heading 3 Char"/>
    <w:basedOn w:val="DefaultParagraphFont"/>
    <w:link w:val="Heading3"/>
    <w:rPr>
      <w:rFonts w:asciiTheme="majorHAnsi" w:hAnsiTheme="majorHAnsi" w:eastAsiaTheme="majorEastAsia" w:cstheme="majorBidi"/>
      <w:color w:val="243F60" w:themeColor="accent1" w:themeShade="7F"/>
      <w:sz w:val="24"/>
      <w:szCs w:val="24"/>
    </w:rPr>
  </w:style>
  <w:style w:type="character" w:styleId="Emphasis">
    <w:name w:val="Emphasis"/>
    <w:basedOn w:val="DefaultParagraphFont"/>
    <w:qFormat/>
    <w:locked/>
    <w:rsid w:val="00211F76"/>
    <w:rPr>
      <w:i/>
      <w:iCs/>
    </w:rPr>
  </w:style>
  <w:style w:type="paragraph" w:styleId="Title">
    <w:name w:val="Title"/>
    <w:basedOn w:val="Normal"/>
    <w:next w:val="Normal"/>
    <w:link w:val="TitleChar"/>
    <w:qFormat/>
    <w:locked/>
    <w:rsid w:val="00211F7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211F76"/>
    <w:rPr>
      <w:rFonts w:asciiTheme="majorHAnsi" w:hAnsiTheme="majorHAnsi" w:eastAsiaTheme="majorEastAsia" w:cstheme="majorBidi"/>
      <w:spacing w:val="-10"/>
      <w:kern w:val="28"/>
      <w:sz w:val="56"/>
      <w:szCs w:val="56"/>
    </w:rPr>
  </w:style>
  <w:style w:type="character" w:styleId="FollowedHyperlink">
    <w:name w:val="FollowedHyperlink"/>
    <w:basedOn w:val="DefaultParagraphFont"/>
    <w:uiPriority w:val="99"/>
    <w:semiHidden/>
    <w:unhideWhenUsed/>
    <w:rsid w:val="007546DB"/>
    <w:rPr>
      <w:color w:val="800080" w:themeColor="followedHyperlink"/>
      <w:u w:val="single"/>
    </w:rPr>
  </w:style>
  <w:style w:type="character" w:styleId="UnresolvedMention1" w:customStyle="1">
    <w:name w:val="Unresolved Mention1"/>
    <w:basedOn w:val="DefaultParagraphFont"/>
    <w:uiPriority w:val="99"/>
    <w:semiHidden/>
    <w:unhideWhenUsed/>
    <w:rsid w:val="004C7470"/>
    <w:rPr>
      <w:color w:val="605E5C"/>
      <w:shd w:val="clear" w:color="auto" w:fill="E1DFDD"/>
    </w:rPr>
  </w:style>
  <w:style w:type="character" w:styleId="UnresolvedMention">
    <w:name w:val="Unresolved Mention"/>
    <w:basedOn w:val="DefaultParagraphFont"/>
    <w:uiPriority w:val="99"/>
    <w:semiHidden/>
    <w:unhideWhenUsed/>
    <w:rsid w:val="00E1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4726">
      <w:bodyDiv w:val="1"/>
      <w:marLeft w:val="0"/>
      <w:marRight w:val="0"/>
      <w:marTop w:val="0"/>
      <w:marBottom w:val="0"/>
      <w:divBdr>
        <w:top w:val="none" w:sz="0" w:space="0" w:color="auto"/>
        <w:left w:val="none" w:sz="0" w:space="0" w:color="auto"/>
        <w:bottom w:val="none" w:sz="0" w:space="0" w:color="auto"/>
        <w:right w:val="none" w:sz="0" w:space="0" w:color="auto"/>
      </w:divBdr>
    </w:div>
    <w:div w:id="987132351">
      <w:bodyDiv w:val="1"/>
      <w:marLeft w:val="0"/>
      <w:marRight w:val="0"/>
      <w:marTop w:val="0"/>
      <w:marBottom w:val="0"/>
      <w:divBdr>
        <w:top w:val="none" w:sz="0" w:space="0" w:color="auto"/>
        <w:left w:val="none" w:sz="0" w:space="0" w:color="auto"/>
        <w:bottom w:val="none" w:sz="0" w:space="0" w:color="auto"/>
        <w:right w:val="none" w:sz="0" w:space="0" w:color="auto"/>
      </w:divBdr>
    </w:div>
    <w:div w:id="1080177428">
      <w:bodyDiv w:val="1"/>
      <w:marLeft w:val="0"/>
      <w:marRight w:val="0"/>
      <w:marTop w:val="0"/>
      <w:marBottom w:val="0"/>
      <w:divBdr>
        <w:top w:val="none" w:sz="0" w:space="0" w:color="auto"/>
        <w:left w:val="none" w:sz="0" w:space="0" w:color="auto"/>
        <w:bottom w:val="none" w:sz="0" w:space="0" w:color="auto"/>
        <w:right w:val="none" w:sz="0" w:space="0" w:color="auto"/>
      </w:divBdr>
    </w:div>
    <w:div w:id="1084035230">
      <w:bodyDiv w:val="1"/>
      <w:marLeft w:val="0"/>
      <w:marRight w:val="0"/>
      <w:marTop w:val="0"/>
      <w:marBottom w:val="0"/>
      <w:divBdr>
        <w:top w:val="none" w:sz="0" w:space="0" w:color="auto"/>
        <w:left w:val="none" w:sz="0" w:space="0" w:color="auto"/>
        <w:bottom w:val="none" w:sz="0" w:space="0" w:color="auto"/>
        <w:right w:val="none" w:sz="0" w:space="0" w:color="auto"/>
      </w:divBdr>
    </w:div>
    <w:div w:id="1145590133">
      <w:bodyDiv w:val="1"/>
      <w:marLeft w:val="0"/>
      <w:marRight w:val="0"/>
      <w:marTop w:val="0"/>
      <w:marBottom w:val="0"/>
      <w:divBdr>
        <w:top w:val="none" w:sz="0" w:space="0" w:color="auto"/>
        <w:left w:val="none" w:sz="0" w:space="0" w:color="auto"/>
        <w:bottom w:val="none" w:sz="0" w:space="0" w:color="auto"/>
        <w:right w:val="none" w:sz="0" w:space="0" w:color="auto"/>
      </w:divBdr>
    </w:div>
    <w:div w:id="1217400868">
      <w:bodyDiv w:val="1"/>
      <w:marLeft w:val="0"/>
      <w:marRight w:val="0"/>
      <w:marTop w:val="0"/>
      <w:marBottom w:val="0"/>
      <w:divBdr>
        <w:top w:val="none" w:sz="0" w:space="0" w:color="auto"/>
        <w:left w:val="none" w:sz="0" w:space="0" w:color="auto"/>
        <w:bottom w:val="none" w:sz="0" w:space="0" w:color="auto"/>
        <w:right w:val="none" w:sz="0" w:space="0" w:color="auto"/>
      </w:divBdr>
    </w:div>
    <w:div w:id="1525316996">
      <w:bodyDiv w:val="1"/>
      <w:marLeft w:val="0"/>
      <w:marRight w:val="0"/>
      <w:marTop w:val="0"/>
      <w:marBottom w:val="0"/>
      <w:divBdr>
        <w:top w:val="none" w:sz="0" w:space="0" w:color="auto"/>
        <w:left w:val="none" w:sz="0" w:space="0" w:color="auto"/>
        <w:bottom w:val="none" w:sz="0" w:space="0" w:color="auto"/>
        <w:right w:val="none" w:sz="0" w:space="0" w:color="auto"/>
      </w:divBdr>
    </w:div>
    <w:div w:id="1623464621">
      <w:bodyDiv w:val="1"/>
      <w:marLeft w:val="0"/>
      <w:marRight w:val="0"/>
      <w:marTop w:val="0"/>
      <w:marBottom w:val="0"/>
      <w:divBdr>
        <w:top w:val="none" w:sz="0" w:space="0" w:color="auto"/>
        <w:left w:val="none" w:sz="0" w:space="0" w:color="auto"/>
        <w:bottom w:val="none" w:sz="0" w:space="0" w:color="auto"/>
        <w:right w:val="none" w:sz="0" w:space="0" w:color="auto"/>
      </w:divBdr>
    </w:div>
    <w:div w:id="1782719609">
      <w:bodyDiv w:val="1"/>
      <w:marLeft w:val="0"/>
      <w:marRight w:val="0"/>
      <w:marTop w:val="0"/>
      <w:marBottom w:val="0"/>
      <w:divBdr>
        <w:top w:val="none" w:sz="0" w:space="0" w:color="auto"/>
        <w:left w:val="none" w:sz="0" w:space="0" w:color="auto"/>
        <w:bottom w:val="none" w:sz="0" w:space="0" w:color="auto"/>
        <w:right w:val="none" w:sz="0" w:space="0" w:color="auto"/>
      </w:divBdr>
    </w:div>
    <w:div w:id="1784228280">
      <w:bodyDiv w:val="1"/>
      <w:marLeft w:val="0"/>
      <w:marRight w:val="0"/>
      <w:marTop w:val="0"/>
      <w:marBottom w:val="0"/>
      <w:divBdr>
        <w:top w:val="none" w:sz="0" w:space="0" w:color="auto"/>
        <w:left w:val="none" w:sz="0" w:space="0" w:color="auto"/>
        <w:bottom w:val="none" w:sz="0" w:space="0" w:color="auto"/>
        <w:right w:val="none" w:sz="0" w:space="0" w:color="auto"/>
      </w:divBdr>
    </w:div>
    <w:div w:id="1814519744">
      <w:bodyDiv w:val="1"/>
      <w:marLeft w:val="0"/>
      <w:marRight w:val="0"/>
      <w:marTop w:val="0"/>
      <w:marBottom w:val="0"/>
      <w:divBdr>
        <w:top w:val="none" w:sz="0" w:space="0" w:color="auto"/>
        <w:left w:val="none" w:sz="0" w:space="0" w:color="auto"/>
        <w:bottom w:val="none" w:sz="0" w:space="0" w:color="auto"/>
        <w:right w:val="none" w:sz="0" w:space="0" w:color="auto"/>
      </w:divBdr>
    </w:div>
    <w:div w:id="18289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www.youtube.com/playlist?list=PLljLFn4BZd2PwCge7lNoKug676jIf_iUA" TargetMode="External" Id="rId18" /><Relationship Type="http://schemas.openxmlformats.org/officeDocument/2006/relationships/header" Target="header8.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www.burlingtonvt.gov/CEDO"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www.burlingtonvt.gov/CEDO" TargetMode="External" Id="rId16" /><Relationship Type="http://schemas.openxmlformats.org/officeDocument/2006/relationships/footer" Target="footer2.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urlingtonvt.gov/CEDO" TargetMode="External" Id="rId11" /><Relationship Type="http://schemas.openxmlformats.org/officeDocument/2006/relationships/header" Target="header7.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eader" Target="header6.xml" Id="rId23" /><Relationship Type="http://schemas.openxmlformats.org/officeDocument/2006/relationships/image" Target="media/image1.jpg" Id="rId28"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www.burlingtonvt.gov/CEDO/Housing-Action-Plan" TargetMode="External" Id="rId22" /><Relationship Type="http://schemas.openxmlformats.org/officeDocument/2006/relationships/footer" Target="footer4.xm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8fcedc-6ba6-44ff-a442-8d1a18039e83">
      <UserInfo>
        <DisplayName>Christine Curtis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9" ma:contentTypeDescription="Create a new document." ma:contentTypeScope="" ma:versionID="261718108856a79d772e85f7e3259ec7">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6effcf7650cfaae262b568067653c373"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79CED27-3DC6-48FD-AD7E-D6DB2D1E9CDE}">
  <ds:schemaRefs>
    <ds:schemaRef ds:uri="http://www.w3.org/XML/1998/namespace"/>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c58fcedc-6ba6-44ff-a442-8d1a18039e83"/>
    <ds:schemaRef ds:uri="50ec610c-65c9-4e82-a464-3733d751e072"/>
  </ds:schemaRefs>
</ds:datastoreItem>
</file>

<file path=customXml/itemProps2.xml><?xml version="1.0" encoding="utf-8"?>
<ds:datastoreItem xmlns:ds="http://schemas.openxmlformats.org/officeDocument/2006/customXml" ds:itemID="{ABCA706A-E917-4471-84E1-B2E8532F3FDF}">
  <ds:schemaRefs>
    <ds:schemaRef ds:uri="http://schemas.microsoft.com/sharepoint/v3/contenttype/forms"/>
  </ds:schemaRefs>
</ds:datastoreItem>
</file>

<file path=customXml/itemProps3.xml><?xml version="1.0" encoding="utf-8"?>
<ds:datastoreItem xmlns:ds="http://schemas.openxmlformats.org/officeDocument/2006/customXml" ds:itemID="{B903334A-FEE2-4A89-B21F-E05634284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D52C8-74D6-4018-BBB3-D45BFB29EA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dc:title>
  <dc:subject/>
  <dc:creator>Rocio</dc:creator>
  <keywords/>
  <dc:description/>
  <lastModifiedBy>Christine Curtis</lastModifiedBy>
  <revision>15</revision>
  <lastPrinted>2022-04-15T12:39:00.0000000Z</lastPrinted>
  <dcterms:created xsi:type="dcterms:W3CDTF">2021-07-29T23:38:00.0000000Z</dcterms:created>
  <dcterms:modified xsi:type="dcterms:W3CDTF">2022-04-27T18:12:54.0046273Z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ies>
</file>